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36DC" w14:textId="77777777" w:rsidR="005A660E" w:rsidRDefault="00831C7D">
      <w:pPr>
        <w:pStyle w:val="Cover-Docketnumber"/>
      </w:pPr>
      <w:bookmarkStart w:id="0" w:name="_BA_ScanRange_Skip_PreScanRange_7675B6_0"/>
      <w:r>
        <w:t>No. 22-11222</w:t>
      </w:r>
    </w:p>
    <w:p w14:paraId="00CB564A" w14:textId="77777777" w:rsidR="005A660E" w:rsidRDefault="00831C7D">
      <w:pPr>
        <w:pStyle w:val="Cover-Courtname"/>
        <w:spacing w:line="240" w:lineRule="auto"/>
        <w:contextualSpacing/>
        <w:rPr>
          <w:szCs w:val="52"/>
        </w:rPr>
      </w:pPr>
      <w:r>
        <w:rPr>
          <w:szCs w:val="52"/>
        </w:rPr>
        <w:t>In the United States Court of Appeals</w:t>
      </w:r>
    </w:p>
    <w:p w14:paraId="13BA097C" w14:textId="77777777" w:rsidR="005A660E" w:rsidRDefault="00831C7D">
      <w:pPr>
        <w:pStyle w:val="Cover-Courtname"/>
        <w:spacing w:line="240" w:lineRule="auto"/>
        <w:contextualSpacing/>
        <w:rPr>
          <w:szCs w:val="52"/>
          <w:u w:val="single"/>
        </w:rPr>
      </w:pPr>
      <w:r>
        <w:rPr>
          <w:szCs w:val="52"/>
        </w:rPr>
        <w:t>for the Eleventh Circuit</w:t>
      </w:r>
    </w:p>
    <w:p w14:paraId="630AA127" w14:textId="77777777" w:rsidR="005A660E" w:rsidRDefault="00831C7D">
      <w:pPr>
        <w:tabs>
          <w:tab w:val="left" w:pos="5220"/>
        </w:tabs>
        <w:spacing w:line="240" w:lineRule="auto"/>
        <w:rPr>
          <w:noProof/>
          <w:szCs w:val="26"/>
        </w:rPr>
      </w:pPr>
      <w:r>
        <w:rPr>
          <w:noProof/>
          <w:szCs w:val="26"/>
        </w:rPr>
        <mc:AlternateContent>
          <mc:Choice Requires="wps">
            <w:drawing>
              <wp:anchor distT="0" distB="0" distL="114300" distR="114300" simplePos="0" relativeHeight="251664384" behindDoc="0" locked="0" layoutInCell="0" allowOverlap="1" wp14:anchorId="0699CB8A" wp14:editId="55222EB2">
                <wp:simplePos x="0" y="0"/>
                <wp:positionH relativeFrom="margin">
                  <wp:align>center</wp:align>
                </wp:positionH>
                <wp:positionV relativeFrom="paragraph">
                  <wp:posOffset>104140</wp:posOffset>
                </wp:positionV>
                <wp:extent cx="764540" cy="0"/>
                <wp:effectExtent l="0" t="0" r="3556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line">
                          <a:avLst/>
                        </a:prstGeom>
                        <a:noFill/>
                        <a:ln w="1587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75517" id="Line 3"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2pt" to="60.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" o:allowincell="f" strokecolor="#020000" strokeweight="1.25pt">
                <w10:wrap anchorx="margin"/>
              </v:line>
            </w:pict>
          </mc:Fallback>
        </mc:AlternateContent>
      </w:r>
      <w:r>
        <w:rPr>
          <w:noProof/>
          <w:szCs w:val="26"/>
        </w:rPr>
        <mc:AlternateContent>
          <mc:Choice Requires="wps">
            <w:drawing>
              <wp:anchor distT="0" distB="0" distL="114300" distR="114300" simplePos="0" relativeHeight="251659264" behindDoc="0" locked="0" layoutInCell="0" allowOverlap="1" wp14:anchorId="1B663A08" wp14:editId="3BCD16CE">
                <wp:simplePos x="0" y="0"/>
                <wp:positionH relativeFrom="margin">
                  <wp:posOffset>0</wp:posOffset>
                </wp:positionH>
                <wp:positionV relativeFrom="paragraph">
                  <wp:posOffset>0</wp:posOffset>
                </wp:positionV>
                <wp:extent cx="0" cy="0"/>
                <wp:effectExtent l="9525" t="9525" r="9525" b="952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2015C"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" o:allowincell="f" strokecolor="#020000" strokeweight=".96pt">
                <w10:wrap anchorx="margin"/>
              </v:line>
            </w:pict>
          </mc:Fallback>
        </mc:AlternateContent>
      </w:r>
    </w:p>
    <w:p w14:paraId="29D548F9" w14:textId="77777777" w:rsidR="005A660E" w:rsidRDefault="00831C7D">
      <w:pPr>
        <w:spacing w:line="240" w:lineRule="auto"/>
        <w:jc w:val="center"/>
        <w:rPr>
          <w:szCs w:val="28"/>
        </w:rPr>
      </w:pPr>
      <w:r>
        <w:rPr>
          <w:smallCaps/>
          <w:spacing w:val="10"/>
          <w:szCs w:val="28"/>
        </w:rPr>
        <w:t>Cambridge Christian School, Inc.</w:t>
      </w:r>
      <w:r>
        <w:rPr>
          <w:smallCaps/>
          <w:szCs w:val="28"/>
        </w:rPr>
        <w:t>,</w:t>
      </w:r>
    </w:p>
    <w:p w14:paraId="765D348C" w14:textId="77777777" w:rsidR="005A660E" w:rsidRDefault="00831C7D">
      <w:pPr>
        <w:tabs>
          <w:tab w:val="left" w:pos="720"/>
          <w:tab w:val="left" w:pos="2160"/>
          <w:tab w:val="left" w:pos="2880"/>
          <w:tab w:val="left" w:pos="3600"/>
          <w:tab w:val="left" w:pos="4320"/>
          <w:tab w:val="left" w:pos="5040"/>
          <w:tab w:val="left" w:pos="5760"/>
        </w:tabs>
        <w:spacing w:line="240"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i/>
          <w:iCs/>
          <w:szCs w:val="28"/>
        </w:rPr>
        <w:t>Plaintiff-Appellant</w:t>
      </w:r>
      <w:r>
        <w:rPr>
          <w:szCs w:val="28"/>
        </w:rPr>
        <w:t>,</w:t>
      </w:r>
    </w:p>
    <w:p w14:paraId="70B5D29F" w14:textId="77777777" w:rsidR="005A660E" w:rsidRDefault="00831C7D">
      <w:pPr>
        <w:spacing w:line="240" w:lineRule="auto"/>
        <w:jc w:val="center"/>
        <w:rPr>
          <w:i/>
          <w:szCs w:val="28"/>
        </w:rPr>
      </w:pPr>
      <w:r>
        <w:rPr>
          <w:i/>
          <w:szCs w:val="28"/>
        </w:rPr>
        <w:t>v.</w:t>
      </w:r>
    </w:p>
    <w:p w14:paraId="0A5E1008" w14:textId="77777777" w:rsidR="005A660E" w:rsidRDefault="00831C7D">
      <w:pPr>
        <w:spacing w:line="240" w:lineRule="auto"/>
        <w:jc w:val="center"/>
        <w:rPr>
          <w:szCs w:val="28"/>
        </w:rPr>
      </w:pPr>
      <w:r>
        <w:rPr>
          <w:smallCaps/>
          <w:spacing w:val="10"/>
          <w:szCs w:val="28"/>
        </w:rPr>
        <w:t>Florida High School Athletic Association, Inc.</w:t>
      </w:r>
      <w:r>
        <w:rPr>
          <w:smallCaps/>
          <w:szCs w:val="28"/>
        </w:rPr>
        <w:t>,</w:t>
      </w:r>
    </w:p>
    <w:p w14:paraId="5599B688" w14:textId="77777777" w:rsidR="005A660E" w:rsidRDefault="00831C7D">
      <w:pPr>
        <w:tabs>
          <w:tab w:val="left" w:pos="720"/>
          <w:tab w:val="left" w:pos="2160"/>
          <w:tab w:val="left" w:pos="2880"/>
          <w:tab w:val="left" w:pos="3600"/>
          <w:tab w:val="left" w:pos="4320"/>
          <w:tab w:val="left" w:pos="5040"/>
          <w:tab w:val="left" w:pos="5760"/>
        </w:tabs>
        <w:spacing w:line="240" w:lineRule="auto"/>
        <w:rPr>
          <w:i/>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i/>
          <w:iCs/>
          <w:szCs w:val="28"/>
        </w:rPr>
        <w:t>Defendant-Appellee</w:t>
      </w:r>
      <w:r>
        <w:rPr>
          <w:i/>
          <w:szCs w:val="28"/>
        </w:rPr>
        <w:t>.</w:t>
      </w:r>
    </w:p>
    <w:p w14:paraId="04FC5F05" w14:textId="77777777" w:rsidR="005A660E" w:rsidRDefault="00831C7D">
      <w:pPr>
        <w:tabs>
          <w:tab w:val="left" w:pos="720"/>
          <w:tab w:val="left" w:pos="2160"/>
          <w:tab w:val="left" w:pos="2880"/>
          <w:tab w:val="left" w:pos="3600"/>
          <w:tab w:val="left" w:pos="4320"/>
          <w:tab w:val="left" w:pos="5040"/>
          <w:tab w:val="left" w:pos="5760"/>
        </w:tabs>
        <w:spacing w:line="240" w:lineRule="auto"/>
        <w:rPr>
          <w:szCs w:val="28"/>
        </w:rPr>
      </w:pPr>
      <w:r>
        <w:rPr>
          <w:noProof/>
          <w:szCs w:val="26"/>
        </w:rPr>
        <mc:AlternateContent>
          <mc:Choice Requires="wps">
            <w:drawing>
              <wp:anchor distT="0" distB="0" distL="114300" distR="114300" simplePos="0" relativeHeight="251663360" behindDoc="0" locked="0" layoutInCell="0" allowOverlap="1" wp14:anchorId="45F0A4C4" wp14:editId="3BEDDB6E">
                <wp:simplePos x="0" y="0"/>
                <wp:positionH relativeFrom="margin">
                  <wp:align>center</wp:align>
                </wp:positionH>
                <wp:positionV relativeFrom="paragraph">
                  <wp:posOffset>82355</wp:posOffset>
                </wp:positionV>
                <wp:extent cx="764540" cy="0"/>
                <wp:effectExtent l="0" t="0" r="355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line">
                          <a:avLst/>
                        </a:prstGeom>
                        <a:noFill/>
                        <a:ln w="1587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8A43" id="Line 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5pt" to="60.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" o:allowincell="f" strokecolor="#020000" strokeweight="1.25pt">
                <w10:wrap anchorx="margin"/>
              </v:line>
            </w:pict>
          </mc:Fallback>
        </mc:AlternateContent>
      </w:r>
    </w:p>
    <w:p w14:paraId="60D5ED99" w14:textId="77777777" w:rsidR="005A660E" w:rsidRDefault="00831C7D">
      <w:pPr>
        <w:spacing w:after="20" w:line="340" w:lineRule="exact"/>
        <w:jc w:val="center"/>
        <w:rPr>
          <w:szCs w:val="28"/>
        </w:rPr>
      </w:pPr>
      <w:r>
        <w:rPr>
          <w:noProof/>
          <w:szCs w:val="28"/>
        </w:rPr>
        <mc:AlternateContent>
          <mc:Choice Requires="wps">
            <w:drawing>
              <wp:anchor distT="0" distB="0" distL="114300" distR="114300" simplePos="0" relativeHeight="251660288" behindDoc="0" locked="0" layoutInCell="0" allowOverlap="1" wp14:anchorId="2F07D7D7" wp14:editId="5AF01484">
                <wp:simplePos x="0" y="0"/>
                <wp:positionH relativeFrom="margin">
                  <wp:posOffset>0</wp:posOffset>
                </wp:positionH>
                <wp:positionV relativeFrom="paragraph">
                  <wp:posOffset>0</wp:posOffset>
                </wp:positionV>
                <wp:extent cx="0" cy="0"/>
                <wp:effectExtent l="9525" t="9525" r="9525" b="952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23EBA"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" o:allowincell="f" strokecolor="#020000" strokeweight=".96pt">
                <w10:wrap anchorx="margin"/>
              </v:line>
            </w:pict>
          </mc:Fallback>
        </mc:AlternateContent>
      </w:r>
      <w:r>
        <w:rPr>
          <w:szCs w:val="28"/>
        </w:rPr>
        <w:t>On Appeal from the United States District Court</w:t>
      </w:r>
    </w:p>
    <w:p w14:paraId="0A08FBEC" w14:textId="77777777" w:rsidR="005A660E" w:rsidRDefault="00831C7D">
      <w:pPr>
        <w:spacing w:after="20" w:line="340" w:lineRule="exact"/>
        <w:jc w:val="center"/>
        <w:rPr>
          <w:szCs w:val="28"/>
        </w:rPr>
      </w:pPr>
      <w:r>
        <w:rPr>
          <w:szCs w:val="28"/>
        </w:rPr>
        <w:t>for the Middle District of Florida, Tampa Division</w:t>
      </w:r>
    </w:p>
    <w:p w14:paraId="15B55172" w14:textId="77777777" w:rsidR="005A660E" w:rsidRDefault="00831C7D">
      <w:pPr>
        <w:spacing w:line="240" w:lineRule="auto"/>
        <w:jc w:val="center"/>
        <w:rPr>
          <w:szCs w:val="28"/>
        </w:rPr>
      </w:pPr>
      <w:r>
        <w:rPr>
          <w:noProof/>
          <w:szCs w:val="26"/>
        </w:rPr>
        <mc:AlternateContent>
          <mc:Choice Requires="wps">
            <w:drawing>
              <wp:anchor distT="0" distB="0" distL="114300" distR="114300" simplePos="0" relativeHeight="251662336" behindDoc="0" locked="0" layoutInCell="0" allowOverlap="1" wp14:anchorId="474FFBBF" wp14:editId="6279A886">
                <wp:simplePos x="0" y="0"/>
                <wp:positionH relativeFrom="margin">
                  <wp:posOffset>2571750</wp:posOffset>
                </wp:positionH>
                <wp:positionV relativeFrom="paragraph">
                  <wp:posOffset>109220</wp:posOffset>
                </wp:positionV>
                <wp:extent cx="764540" cy="0"/>
                <wp:effectExtent l="0" t="0" r="3556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line">
                          <a:avLst/>
                        </a:prstGeom>
                        <a:noFill/>
                        <a:ln w="1587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8FE7"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5pt,8.6pt" to="262.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" o:allowincell="f" strokecolor="#020000" strokeweight="1.25pt">
                <w10:wrap anchorx="margin"/>
              </v:line>
            </w:pict>
          </mc:Fallback>
        </mc:AlternateContent>
      </w:r>
    </w:p>
    <w:p w14:paraId="68024B8B" w14:textId="77777777" w:rsidR="005A660E" w:rsidRDefault="00831C7D">
      <w:pPr>
        <w:spacing w:line="340" w:lineRule="exact"/>
        <w:jc w:val="center"/>
        <w:rPr>
          <w:b/>
          <w:caps/>
          <w:spacing w:val="10"/>
          <w:szCs w:val="28"/>
        </w:rPr>
      </w:pPr>
      <w:r>
        <w:rPr>
          <w:b/>
          <w:bCs/>
          <w:caps/>
          <w:noProof/>
          <w:szCs w:val="28"/>
        </w:rPr>
        <w:t>Brief For AMICUS CURIAE THE Association of christian schools international in support of APPELLant</w:t>
      </w:r>
    </w:p>
    <w:p w14:paraId="3B18F820" w14:textId="77777777" w:rsidR="005A660E" w:rsidRDefault="00831C7D">
      <w:pPr>
        <w:spacing w:line="192" w:lineRule="auto"/>
        <w:jc w:val="center"/>
        <w:rPr>
          <w:szCs w:val="28"/>
        </w:rPr>
      </w:pPr>
      <w:r>
        <w:rPr>
          <w:noProof/>
          <w:szCs w:val="26"/>
        </w:rPr>
        <mc:AlternateContent>
          <mc:Choice Requires="wps">
            <w:drawing>
              <wp:anchor distT="0" distB="0" distL="114300" distR="114300" simplePos="0" relativeHeight="251665408" behindDoc="0" locked="0" layoutInCell="0" allowOverlap="1" wp14:anchorId="70430A39" wp14:editId="56EC1BF9">
                <wp:simplePos x="0" y="0"/>
                <wp:positionH relativeFrom="margin">
                  <wp:align>center</wp:align>
                </wp:positionH>
                <wp:positionV relativeFrom="paragraph">
                  <wp:posOffset>101307</wp:posOffset>
                </wp:positionV>
                <wp:extent cx="764540" cy="0"/>
                <wp:effectExtent l="0" t="0" r="3556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line">
                          <a:avLst/>
                        </a:prstGeom>
                        <a:noFill/>
                        <a:ln w="1587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BA83E" id="Line 3"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pt" to="6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" o:allowincell="f" strokecolor="#020000" strokeweight="1.25pt">
                <w10:wrap anchorx="margin"/>
              </v:line>
            </w:pict>
          </mc:Fallback>
        </mc:AlternateContent>
      </w:r>
      <w:r>
        <w:rPr>
          <w:szCs w:val="28"/>
        </w:rPr>
        <w:t xml:space="preserve"> </w:t>
      </w:r>
    </w:p>
    <w:p w14:paraId="47F3BB4A" w14:textId="77777777" w:rsidR="005A660E" w:rsidRDefault="00831C7D">
      <w:pPr>
        <w:spacing w:line="2" w:lineRule="exact"/>
        <w:rPr>
          <w:szCs w:val="28"/>
        </w:rPr>
      </w:pPr>
      <w:r>
        <w:rPr>
          <w:noProof/>
          <w:szCs w:val="28"/>
        </w:rPr>
        <mc:AlternateContent>
          <mc:Choice Requires="wps">
            <w:drawing>
              <wp:anchor distT="0" distB="0" distL="114300" distR="114300" simplePos="0" relativeHeight="251661312" behindDoc="0" locked="0" layoutInCell="0" allowOverlap="1" wp14:anchorId="3AFA159F" wp14:editId="271C3966">
                <wp:simplePos x="0" y="0"/>
                <wp:positionH relativeFrom="margin">
                  <wp:posOffset>0</wp:posOffset>
                </wp:positionH>
                <wp:positionV relativeFrom="paragraph">
                  <wp:posOffset>0</wp:posOffset>
                </wp:positionV>
                <wp:extent cx="0" cy="0"/>
                <wp:effectExtent l="9525" t="9525" r="9525" b="952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95A3" id="Line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" o:allowincell="f" strokecolor="#020000" strokeweight=".96pt">
                <w10:wrap anchorx="margin"/>
              </v:line>
            </w:pict>
          </mc:Fallback>
        </mc:AlternateContent>
      </w:r>
    </w:p>
    <w:tbl>
      <w:tblPr>
        <w:tblW w:w="9630" w:type="dxa"/>
        <w:tblBorders>
          <w:top w:val="nil"/>
          <w:left w:val="nil"/>
          <w:bottom w:val="nil"/>
          <w:right w:val="nil"/>
          <w:insideH w:val="nil"/>
          <w:insideV w:val="nil"/>
        </w:tblBorders>
        <w:tblLook w:val="0400" w:firstRow="0" w:lastRow="0" w:firstColumn="0" w:lastColumn="0" w:noHBand="0" w:noVBand="1"/>
      </w:tblPr>
      <w:tblGrid>
        <w:gridCol w:w="4590"/>
        <w:gridCol w:w="5040"/>
      </w:tblGrid>
      <w:tr w:rsidR="005A660E" w14:paraId="75CC39BE" w14:textId="77777777">
        <w:tc>
          <w:tcPr>
            <w:tcW w:w="4590" w:type="dxa"/>
          </w:tcPr>
          <w:p w14:paraId="6C64F3A6"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Kyle Hawkins</w:t>
            </w:r>
          </w:p>
          <w:p w14:paraId="77E42B7A" w14:textId="77777777" w:rsidR="005A660E" w:rsidRDefault="00831C7D">
            <w:pPr>
              <w:tabs>
                <w:tab w:val="clear" w:pos="475"/>
                <w:tab w:val="clear" w:pos="950"/>
                <w:tab w:val="clear" w:pos="1440"/>
              </w:tabs>
              <w:autoSpaceDE/>
              <w:autoSpaceDN/>
              <w:adjustRightInd/>
              <w:spacing w:line="240" w:lineRule="auto"/>
              <w:jc w:val="both"/>
              <w:rPr>
                <w:smallCaps/>
                <w:szCs w:val="28"/>
              </w:rPr>
            </w:pPr>
            <w:r>
              <w:rPr>
                <w:smallCaps/>
                <w:szCs w:val="28"/>
              </w:rPr>
              <w:t>Lehotsky Keller LLP</w:t>
            </w:r>
          </w:p>
          <w:p w14:paraId="0764D10C"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 xml:space="preserve">919 Congress Avenue </w:t>
            </w:r>
          </w:p>
          <w:p w14:paraId="41B47839"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Austin, TX 78701</w:t>
            </w:r>
          </w:p>
          <w:p w14:paraId="43750BC2" w14:textId="77777777" w:rsidR="005A660E" w:rsidRDefault="005A660E">
            <w:pPr>
              <w:tabs>
                <w:tab w:val="clear" w:pos="475"/>
                <w:tab w:val="clear" w:pos="950"/>
                <w:tab w:val="clear" w:pos="1440"/>
              </w:tabs>
              <w:autoSpaceDE/>
              <w:autoSpaceDN/>
              <w:adjustRightInd/>
              <w:spacing w:line="240" w:lineRule="auto"/>
              <w:jc w:val="both"/>
              <w:rPr>
                <w:rFonts w:eastAsia="Palatino Linotype"/>
                <w:smallCaps/>
                <w:szCs w:val="28"/>
              </w:rPr>
            </w:pPr>
          </w:p>
        </w:tc>
        <w:tc>
          <w:tcPr>
            <w:tcW w:w="5040" w:type="dxa"/>
          </w:tcPr>
          <w:p w14:paraId="7C50DE46" w14:textId="77777777" w:rsidR="005A660E" w:rsidRDefault="00831C7D">
            <w:pPr>
              <w:tabs>
                <w:tab w:val="clear" w:pos="475"/>
                <w:tab w:val="clear" w:pos="950"/>
                <w:tab w:val="clear" w:pos="1440"/>
              </w:tabs>
              <w:autoSpaceDE/>
              <w:autoSpaceDN/>
              <w:adjustRightInd/>
              <w:spacing w:line="240" w:lineRule="auto"/>
              <w:jc w:val="both"/>
              <w:rPr>
                <w:rFonts w:eastAsia="Palatino Linotype"/>
                <w:szCs w:val="28"/>
              </w:rPr>
            </w:pPr>
            <w:r>
              <w:rPr>
                <w:rFonts w:eastAsia="Palatino Linotype"/>
                <w:szCs w:val="28"/>
              </w:rPr>
              <w:t>Scott A. Keller</w:t>
            </w:r>
          </w:p>
          <w:p w14:paraId="456C2A9A" w14:textId="77777777" w:rsidR="005A660E" w:rsidRDefault="00831C7D">
            <w:pPr>
              <w:tabs>
                <w:tab w:val="clear" w:pos="475"/>
                <w:tab w:val="clear" w:pos="950"/>
                <w:tab w:val="clear" w:pos="1440"/>
              </w:tabs>
              <w:autoSpaceDE/>
              <w:autoSpaceDN/>
              <w:adjustRightInd/>
              <w:spacing w:line="240" w:lineRule="auto"/>
              <w:jc w:val="both"/>
              <w:rPr>
                <w:rFonts w:eastAsia="Palatino Linotype"/>
                <w:szCs w:val="28"/>
              </w:rPr>
            </w:pPr>
            <w:r>
              <w:rPr>
                <w:rFonts w:eastAsia="Palatino Linotype"/>
                <w:szCs w:val="28"/>
              </w:rPr>
              <w:t>Gabriela Gonzalez-Araiza</w:t>
            </w:r>
          </w:p>
          <w:p w14:paraId="61AB237F" w14:textId="77777777" w:rsidR="005A660E" w:rsidRDefault="00831C7D">
            <w:pPr>
              <w:tabs>
                <w:tab w:val="clear" w:pos="475"/>
                <w:tab w:val="clear" w:pos="950"/>
                <w:tab w:val="clear" w:pos="1440"/>
              </w:tabs>
              <w:autoSpaceDE/>
              <w:autoSpaceDN/>
              <w:adjustRightInd/>
              <w:spacing w:line="240" w:lineRule="auto"/>
              <w:jc w:val="both"/>
              <w:rPr>
                <w:rFonts w:eastAsia="Palatino Linotype"/>
                <w:smallCaps/>
                <w:szCs w:val="28"/>
              </w:rPr>
            </w:pPr>
            <w:r>
              <w:rPr>
                <w:rFonts w:eastAsia="Palatino Linotype"/>
                <w:smallCaps/>
                <w:szCs w:val="28"/>
              </w:rPr>
              <w:t>Lehotsky Keller LLP</w:t>
            </w:r>
          </w:p>
          <w:p w14:paraId="7D7D98E6" w14:textId="77777777" w:rsidR="005A660E" w:rsidRDefault="00831C7D">
            <w:pPr>
              <w:tabs>
                <w:tab w:val="clear" w:pos="475"/>
                <w:tab w:val="clear" w:pos="950"/>
                <w:tab w:val="clear" w:pos="1440"/>
              </w:tabs>
              <w:autoSpaceDE/>
              <w:autoSpaceDN/>
              <w:adjustRightInd/>
              <w:spacing w:line="240" w:lineRule="auto"/>
              <w:jc w:val="both"/>
              <w:rPr>
                <w:rFonts w:eastAsia="Palatino Linotype"/>
                <w:szCs w:val="28"/>
              </w:rPr>
            </w:pPr>
            <w:r>
              <w:rPr>
                <w:rFonts w:eastAsia="Palatino Linotype"/>
                <w:szCs w:val="28"/>
              </w:rPr>
              <w:t>200 Massachusetts Avenue, NW</w:t>
            </w:r>
          </w:p>
          <w:p w14:paraId="565FA09F" w14:textId="77777777" w:rsidR="005A660E" w:rsidRDefault="00831C7D">
            <w:pPr>
              <w:tabs>
                <w:tab w:val="clear" w:pos="475"/>
                <w:tab w:val="clear" w:pos="950"/>
                <w:tab w:val="clear" w:pos="1440"/>
              </w:tabs>
              <w:autoSpaceDE/>
              <w:autoSpaceDN/>
              <w:adjustRightInd/>
              <w:spacing w:line="240" w:lineRule="auto"/>
              <w:contextualSpacing/>
              <w:jc w:val="both"/>
              <w:rPr>
                <w:rFonts w:eastAsia="Palatino Linotype"/>
                <w:szCs w:val="28"/>
              </w:rPr>
            </w:pPr>
            <w:r>
              <w:rPr>
                <w:rFonts w:eastAsia="Palatino Linotype"/>
                <w:szCs w:val="28"/>
              </w:rPr>
              <w:t>Washington, DC 20001</w:t>
            </w:r>
          </w:p>
          <w:p w14:paraId="2DA1D159" w14:textId="77777777" w:rsidR="005A660E" w:rsidRDefault="00831C7D">
            <w:pPr>
              <w:tabs>
                <w:tab w:val="clear" w:pos="475"/>
                <w:tab w:val="clear" w:pos="950"/>
                <w:tab w:val="clear" w:pos="1440"/>
              </w:tabs>
              <w:autoSpaceDE/>
              <w:autoSpaceDN/>
              <w:adjustRightInd/>
              <w:spacing w:line="240" w:lineRule="auto"/>
              <w:contextualSpacing/>
              <w:jc w:val="both"/>
              <w:rPr>
                <w:rFonts w:eastAsia="Palatino Linotype"/>
                <w:szCs w:val="28"/>
              </w:rPr>
            </w:pPr>
            <w:r>
              <w:rPr>
                <w:rFonts w:eastAsia="Palatino Linotype"/>
                <w:szCs w:val="28"/>
              </w:rPr>
              <w:t>(512) 693-8350</w:t>
            </w:r>
          </w:p>
          <w:p w14:paraId="33E91827" w14:textId="77777777" w:rsidR="005A660E" w:rsidRDefault="00831C7D">
            <w:pPr>
              <w:tabs>
                <w:tab w:val="clear" w:pos="475"/>
                <w:tab w:val="clear" w:pos="950"/>
                <w:tab w:val="clear" w:pos="1440"/>
              </w:tabs>
              <w:autoSpaceDE/>
              <w:autoSpaceDN/>
              <w:adjustRightInd/>
              <w:spacing w:line="240" w:lineRule="auto"/>
              <w:contextualSpacing/>
              <w:jc w:val="both"/>
              <w:rPr>
                <w:rFonts w:eastAsia="Palatino Linotype"/>
                <w:szCs w:val="28"/>
              </w:rPr>
            </w:pPr>
            <w:r>
              <w:rPr>
                <w:rFonts w:eastAsia="Palatino Linotype"/>
                <w:szCs w:val="28"/>
              </w:rPr>
              <w:t>scott@lehotskykeller.com</w:t>
            </w:r>
          </w:p>
          <w:p w14:paraId="10505B53" w14:textId="77777777" w:rsidR="005A660E" w:rsidRDefault="005A660E">
            <w:pPr>
              <w:tabs>
                <w:tab w:val="clear" w:pos="475"/>
                <w:tab w:val="clear" w:pos="950"/>
                <w:tab w:val="clear" w:pos="1440"/>
              </w:tabs>
              <w:autoSpaceDE/>
              <w:autoSpaceDN/>
              <w:adjustRightInd/>
              <w:spacing w:line="240" w:lineRule="auto"/>
              <w:contextualSpacing/>
              <w:rPr>
                <w:rFonts w:eastAsia="Palatino Linotype"/>
                <w:i/>
                <w:iCs/>
                <w:szCs w:val="28"/>
              </w:rPr>
            </w:pPr>
          </w:p>
        </w:tc>
      </w:tr>
    </w:tbl>
    <w:p w14:paraId="36D02FE0" w14:textId="77777777" w:rsidR="005A660E" w:rsidRDefault="00831C7D">
      <w:pPr>
        <w:pBdr>
          <w:bottom w:val="thickThinSmallGap" w:sz="24" w:space="0" w:color="auto"/>
        </w:pBdr>
        <w:jc w:val="center"/>
      </w:pPr>
      <w:r>
        <w:rPr>
          <w:rFonts w:eastAsia="Palatino Linotype"/>
          <w:i/>
          <w:iCs/>
          <w:szCs w:val="28"/>
        </w:rPr>
        <w:t>Counsel for Amicus Curiae</w:t>
      </w:r>
    </w:p>
    <w:p w14:paraId="6BC975F8" w14:textId="77777777" w:rsidR="005A660E" w:rsidRDefault="005A660E">
      <w:pPr>
        <w:pBdr>
          <w:bottom w:val="thickThinSmallGap" w:sz="24" w:space="0" w:color="auto"/>
        </w:pBdr>
      </w:pPr>
    </w:p>
    <w:p w14:paraId="2ABFA3E1" w14:textId="77777777" w:rsidR="005A660E" w:rsidRDefault="005A660E">
      <w:pPr>
        <w:pBdr>
          <w:bottom w:val="thickThinSmallGap" w:sz="24" w:space="1" w:color="auto"/>
        </w:pBdr>
        <w:sectPr w:rsidR="005A660E">
          <w:headerReference w:type="first" r:id="rId8"/>
          <w:footerReference w:type="first" r:id="rId9"/>
          <w:pgSz w:w="12240" w:h="15840"/>
          <w:pgMar w:top="1296" w:right="1440" w:bottom="1296" w:left="1440" w:header="720" w:footer="720" w:gutter="0"/>
          <w:cols w:space="720"/>
          <w:docGrid w:linePitch="360"/>
        </w:sectPr>
      </w:pPr>
    </w:p>
    <w:p w14:paraId="14FEC116" w14:textId="77777777" w:rsidR="005A660E" w:rsidRDefault="00831C7D">
      <w:pPr>
        <w:pStyle w:val="Heading1"/>
        <w:rPr>
          <w:spacing w:val="20"/>
        </w:rPr>
      </w:pPr>
      <w:bookmarkStart w:id="1" w:name="_Toc95847574"/>
      <w:bookmarkStart w:id="2" w:name="_Toc111015053"/>
      <w:bookmarkStart w:id="3" w:name="_Toc430166997"/>
      <w:bookmarkStart w:id="4" w:name="_Toc430167920"/>
      <w:bookmarkStart w:id="5" w:name="_Toc434487775"/>
      <w:bookmarkStart w:id="6" w:name="_Toc434488031"/>
      <w:bookmarkStart w:id="7" w:name="_Toc89285897"/>
      <w:bookmarkStart w:id="8" w:name="_Toc89328115"/>
      <w:bookmarkStart w:id="9" w:name="_Toc89339624"/>
      <w:bookmarkStart w:id="10" w:name="_Toc89440666"/>
      <w:bookmarkStart w:id="11" w:name="_Toc90391881"/>
      <w:bookmarkStart w:id="12" w:name="_Toc90621821"/>
      <w:bookmarkStart w:id="13" w:name="_Toc90637051"/>
      <w:bookmarkStart w:id="14" w:name="_Toc90980106"/>
      <w:bookmarkStart w:id="15" w:name="_Toc91073188"/>
      <w:bookmarkStart w:id="16" w:name="_Toc91141526"/>
      <w:bookmarkStart w:id="17" w:name="_Toc91166169"/>
      <w:r>
        <w:rPr>
          <w:spacing w:val="20"/>
        </w:rPr>
        <w:lastRenderedPageBreak/>
        <w:t>Certificate of Interested Persons and Corporate Disclosure Statement</w:t>
      </w:r>
      <w:bookmarkEnd w:id="1"/>
      <w:bookmarkEnd w:id="2"/>
    </w:p>
    <w:p w14:paraId="0C423460" w14:textId="77777777" w:rsidR="005A660E" w:rsidRDefault="00831C7D">
      <w:pPr>
        <w:jc w:val="both"/>
        <w:rPr>
          <w:szCs w:val="28"/>
        </w:rPr>
      </w:pPr>
      <w:r>
        <w:rPr>
          <w:b/>
          <w:bCs/>
          <w:smallCaps/>
        </w:rPr>
        <w:tab/>
      </w:r>
      <w:r>
        <w:rPr>
          <w:szCs w:val="28"/>
        </w:rPr>
        <w:t xml:space="preserve">The Association of Christian Schools International (“ACSI”) states that it is a non-profit, tax-exempt organization incorporated in </w:t>
      </w:r>
      <w:commentRangeStart w:id="18"/>
      <w:r>
        <w:rPr>
          <w:szCs w:val="28"/>
        </w:rPr>
        <w:t>Colorado</w:t>
      </w:r>
      <w:commentRangeEnd w:id="18"/>
      <w:r>
        <w:rPr>
          <w:rStyle w:val="CommentReference"/>
          <w:sz w:val="28"/>
          <w:szCs w:val="28"/>
        </w:rPr>
        <w:commentReference w:id="18"/>
      </w:r>
      <w:r>
        <w:rPr>
          <w:szCs w:val="28"/>
        </w:rPr>
        <w:t>. ACSI has no parent corporation, and no publicly held company has 10% or greater ownership in ACSI. Counsel further certifies that, in addition to the persons listed in the briefs of Plaintiff-Appellant and Defendant-Appellee, the following persons may have an interest in the outcome of this case:</w:t>
      </w:r>
    </w:p>
    <w:p w14:paraId="62DFF002" w14:textId="77777777" w:rsidR="005A660E" w:rsidRDefault="005A660E">
      <w:pPr>
        <w:spacing w:line="240" w:lineRule="auto"/>
        <w:ind w:left="950" w:right="1080"/>
        <w:jc w:val="both"/>
        <w:rPr>
          <w:szCs w:val="28"/>
        </w:rPr>
      </w:pPr>
    </w:p>
    <w:p w14:paraId="44077237" w14:textId="77777777" w:rsidR="005A660E" w:rsidRDefault="00831C7D">
      <w:pPr>
        <w:spacing w:line="240" w:lineRule="auto"/>
        <w:ind w:left="950" w:right="1080"/>
        <w:jc w:val="both"/>
        <w:rPr>
          <w:szCs w:val="28"/>
        </w:rPr>
      </w:pPr>
      <w:r>
        <w:rPr>
          <w:szCs w:val="28"/>
        </w:rPr>
        <w:t>Association of Christian Schools International, amicus curiae</w:t>
      </w:r>
    </w:p>
    <w:p w14:paraId="6CB57AA0" w14:textId="77777777" w:rsidR="005A660E" w:rsidRDefault="005A660E">
      <w:pPr>
        <w:spacing w:line="240" w:lineRule="auto"/>
        <w:ind w:left="950" w:right="1080"/>
        <w:jc w:val="both"/>
        <w:rPr>
          <w:rFonts w:eastAsia="Palatino Linotype"/>
          <w:szCs w:val="28"/>
        </w:rPr>
      </w:pPr>
    </w:p>
    <w:p w14:paraId="092E3361" w14:textId="77777777" w:rsidR="005A660E" w:rsidRDefault="00831C7D">
      <w:pPr>
        <w:spacing w:line="240" w:lineRule="auto"/>
        <w:ind w:left="950" w:right="1080"/>
        <w:jc w:val="both"/>
        <w:rPr>
          <w:rFonts w:eastAsia="Palatino Linotype"/>
          <w:szCs w:val="28"/>
        </w:rPr>
      </w:pPr>
      <w:r>
        <w:rPr>
          <w:rFonts w:eastAsia="Palatino Linotype"/>
          <w:szCs w:val="28"/>
        </w:rPr>
        <w:t>Gonzalez-Araiza, Gabriela,</w:t>
      </w:r>
      <w:r>
        <w:rPr>
          <w:szCs w:val="28"/>
        </w:rPr>
        <w:t xml:space="preserve"> attorney, Lehotsky Keller LLP, counsel for amicus curiae</w:t>
      </w:r>
      <w:r>
        <w:rPr>
          <w:rFonts w:eastAsia="Palatino Linotype"/>
          <w:szCs w:val="28"/>
        </w:rPr>
        <w:t xml:space="preserve"> </w:t>
      </w:r>
    </w:p>
    <w:p w14:paraId="4C75CF67" w14:textId="77777777" w:rsidR="005A660E" w:rsidRDefault="005A660E">
      <w:pPr>
        <w:spacing w:line="240" w:lineRule="auto"/>
        <w:ind w:left="950" w:right="1080"/>
        <w:jc w:val="both"/>
        <w:rPr>
          <w:rFonts w:eastAsia="Palatino Linotype"/>
          <w:szCs w:val="28"/>
        </w:rPr>
      </w:pPr>
    </w:p>
    <w:p w14:paraId="5EA280FA" w14:textId="77777777" w:rsidR="005A660E" w:rsidRDefault="00831C7D">
      <w:pPr>
        <w:spacing w:line="240" w:lineRule="auto"/>
        <w:ind w:left="950" w:right="1080"/>
        <w:jc w:val="both"/>
        <w:rPr>
          <w:rFonts w:eastAsia="Palatino Linotype"/>
          <w:szCs w:val="28"/>
        </w:rPr>
      </w:pPr>
      <w:r>
        <w:rPr>
          <w:rFonts w:eastAsia="Palatino Linotype"/>
          <w:szCs w:val="28"/>
        </w:rPr>
        <w:t xml:space="preserve">Hawkins, Kyle, </w:t>
      </w:r>
      <w:r>
        <w:rPr>
          <w:szCs w:val="28"/>
        </w:rPr>
        <w:t>attorney, Lehotsky Keller LLP, counsel for amicus curiae</w:t>
      </w:r>
      <w:r>
        <w:rPr>
          <w:rFonts w:eastAsia="Palatino Linotype"/>
          <w:szCs w:val="28"/>
        </w:rPr>
        <w:t xml:space="preserve"> </w:t>
      </w:r>
    </w:p>
    <w:p w14:paraId="1B3AD981" w14:textId="77777777" w:rsidR="005A660E" w:rsidRDefault="005A660E">
      <w:pPr>
        <w:spacing w:line="240" w:lineRule="auto"/>
        <w:ind w:left="950" w:right="1080"/>
        <w:jc w:val="both"/>
        <w:rPr>
          <w:rFonts w:eastAsia="Palatino Linotype"/>
          <w:szCs w:val="28"/>
        </w:rPr>
      </w:pPr>
    </w:p>
    <w:p w14:paraId="3BB6E5CE" w14:textId="77777777" w:rsidR="005A660E" w:rsidRDefault="00831C7D">
      <w:pPr>
        <w:tabs>
          <w:tab w:val="clear" w:pos="475"/>
          <w:tab w:val="clear" w:pos="950"/>
          <w:tab w:val="clear" w:pos="1440"/>
        </w:tabs>
        <w:autoSpaceDE/>
        <w:autoSpaceDN/>
        <w:adjustRightInd/>
        <w:spacing w:line="240" w:lineRule="auto"/>
        <w:ind w:left="950" w:right="1080"/>
        <w:jc w:val="both"/>
        <w:rPr>
          <w:szCs w:val="28"/>
        </w:rPr>
      </w:pPr>
      <w:r>
        <w:rPr>
          <w:rFonts w:eastAsia="Palatino Linotype"/>
          <w:szCs w:val="28"/>
        </w:rPr>
        <w:t xml:space="preserve">Keller, Scott A., </w:t>
      </w:r>
      <w:r>
        <w:rPr>
          <w:szCs w:val="28"/>
        </w:rPr>
        <w:t>attorney, Lehotsky Keller LLP, counsel for amicus curiae</w:t>
      </w:r>
    </w:p>
    <w:p w14:paraId="729AF5A9" w14:textId="77777777" w:rsidR="005A660E" w:rsidRDefault="005A660E">
      <w:pPr>
        <w:tabs>
          <w:tab w:val="clear" w:pos="475"/>
          <w:tab w:val="clear" w:pos="950"/>
          <w:tab w:val="clear" w:pos="1440"/>
        </w:tabs>
        <w:autoSpaceDE/>
        <w:autoSpaceDN/>
        <w:adjustRightInd/>
        <w:spacing w:line="240" w:lineRule="auto"/>
        <w:ind w:left="950" w:right="1080"/>
        <w:jc w:val="both"/>
        <w:rPr>
          <w:rFonts w:eastAsia="Palatino Linotype"/>
          <w:szCs w:val="28"/>
        </w:rPr>
      </w:pPr>
    </w:p>
    <w:p w14:paraId="3DCF4ED4" w14:textId="77777777" w:rsidR="005A660E" w:rsidRDefault="00831C7D">
      <w:pPr>
        <w:spacing w:line="240" w:lineRule="auto"/>
        <w:ind w:left="950" w:right="1080"/>
        <w:jc w:val="both"/>
        <w:rPr>
          <w:szCs w:val="28"/>
        </w:rPr>
      </w:pPr>
      <w:r>
        <w:rPr>
          <w:szCs w:val="28"/>
        </w:rPr>
        <w:t>Lehotsky Keller LLP, counsel for amicus curiae</w:t>
      </w:r>
    </w:p>
    <w:p w14:paraId="550FED5C" w14:textId="77777777" w:rsidR="005A660E" w:rsidRDefault="005A660E">
      <w:pPr>
        <w:tabs>
          <w:tab w:val="clear" w:pos="475"/>
          <w:tab w:val="clear" w:pos="950"/>
          <w:tab w:val="clear" w:pos="1440"/>
        </w:tabs>
        <w:autoSpaceDE/>
        <w:autoSpaceDN/>
        <w:adjustRightInd/>
        <w:spacing w:line="240" w:lineRule="auto"/>
        <w:ind w:right="1080"/>
        <w:jc w:val="both"/>
        <w:rPr>
          <w:szCs w:val="28"/>
        </w:rPr>
      </w:pPr>
    </w:p>
    <w:tbl>
      <w:tblPr>
        <w:tblW w:w="0" w:type="auto"/>
        <w:tblLook w:val="04A0" w:firstRow="1" w:lastRow="0" w:firstColumn="1" w:lastColumn="0" w:noHBand="0" w:noVBand="1"/>
      </w:tblPr>
      <w:tblGrid>
        <w:gridCol w:w="4230"/>
        <w:gridCol w:w="4410"/>
      </w:tblGrid>
      <w:tr w:rsidR="005A660E" w14:paraId="77EB3197" w14:textId="77777777">
        <w:tc>
          <w:tcPr>
            <w:tcW w:w="4230" w:type="dxa"/>
          </w:tcPr>
          <w:p w14:paraId="5F11D429"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Dated: August 15, 2022</w:t>
            </w:r>
          </w:p>
        </w:tc>
        <w:tc>
          <w:tcPr>
            <w:tcW w:w="4410" w:type="dxa"/>
          </w:tcPr>
          <w:p w14:paraId="4A051EC2"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Respectfully submitted,</w:t>
            </w:r>
          </w:p>
          <w:p w14:paraId="4179C79A" w14:textId="77777777" w:rsidR="005A660E" w:rsidRDefault="005A660E">
            <w:pPr>
              <w:tabs>
                <w:tab w:val="clear" w:pos="475"/>
                <w:tab w:val="clear" w:pos="950"/>
                <w:tab w:val="clear" w:pos="1440"/>
              </w:tabs>
              <w:autoSpaceDE/>
              <w:autoSpaceDN/>
              <w:adjustRightInd/>
              <w:spacing w:line="240" w:lineRule="auto"/>
              <w:jc w:val="both"/>
              <w:rPr>
                <w:szCs w:val="28"/>
              </w:rPr>
            </w:pPr>
          </w:p>
        </w:tc>
      </w:tr>
      <w:tr w:rsidR="005A660E" w14:paraId="61129A27" w14:textId="77777777">
        <w:tc>
          <w:tcPr>
            <w:tcW w:w="4230" w:type="dxa"/>
          </w:tcPr>
          <w:p w14:paraId="14DA551C" w14:textId="77777777" w:rsidR="005A660E" w:rsidRDefault="005A660E">
            <w:pPr>
              <w:tabs>
                <w:tab w:val="clear" w:pos="475"/>
                <w:tab w:val="clear" w:pos="950"/>
                <w:tab w:val="clear" w:pos="1440"/>
              </w:tabs>
              <w:autoSpaceDE/>
              <w:autoSpaceDN/>
              <w:adjustRightInd/>
              <w:spacing w:line="240" w:lineRule="auto"/>
              <w:jc w:val="both"/>
              <w:rPr>
                <w:szCs w:val="28"/>
              </w:rPr>
            </w:pPr>
          </w:p>
        </w:tc>
        <w:tc>
          <w:tcPr>
            <w:tcW w:w="4410" w:type="dxa"/>
          </w:tcPr>
          <w:p w14:paraId="16FFD257" w14:textId="77777777" w:rsidR="005A660E" w:rsidRDefault="00831C7D">
            <w:pPr>
              <w:tabs>
                <w:tab w:val="clear" w:pos="475"/>
                <w:tab w:val="clear" w:pos="950"/>
                <w:tab w:val="clear" w:pos="1440"/>
              </w:tabs>
              <w:autoSpaceDE/>
              <w:autoSpaceDN/>
              <w:adjustRightInd/>
              <w:spacing w:line="240" w:lineRule="auto"/>
              <w:jc w:val="both"/>
              <w:rPr>
                <w:i/>
                <w:iCs/>
                <w:szCs w:val="28"/>
                <w:u w:val="single"/>
              </w:rPr>
            </w:pPr>
            <w:r>
              <w:rPr>
                <w:i/>
                <w:iCs/>
                <w:szCs w:val="28"/>
                <w:u w:val="single"/>
              </w:rPr>
              <w:t>/s/</w:t>
            </w:r>
          </w:p>
          <w:p w14:paraId="6F350BCD" w14:textId="77777777" w:rsidR="005A660E" w:rsidRDefault="00831C7D">
            <w:pPr>
              <w:tabs>
                <w:tab w:val="clear" w:pos="475"/>
                <w:tab w:val="clear" w:pos="950"/>
                <w:tab w:val="clear" w:pos="1440"/>
              </w:tabs>
              <w:autoSpaceDE/>
              <w:autoSpaceDN/>
              <w:adjustRightInd/>
              <w:spacing w:line="240" w:lineRule="auto"/>
              <w:jc w:val="both"/>
              <w:rPr>
                <w:i/>
                <w:iCs/>
                <w:szCs w:val="28"/>
                <w:u w:val="single"/>
              </w:rPr>
            </w:pPr>
            <w:r>
              <w:rPr>
                <w:szCs w:val="28"/>
              </w:rPr>
              <w:t>DRAFT</w:t>
            </w:r>
          </w:p>
        </w:tc>
      </w:tr>
    </w:tbl>
    <w:p w14:paraId="21B0AC8D" w14:textId="77777777" w:rsidR="005A660E" w:rsidRDefault="005A660E"/>
    <w:p w14:paraId="11D863A9" w14:textId="77777777" w:rsidR="005A660E" w:rsidRDefault="005A660E"/>
    <w:p w14:paraId="3573F3FB" w14:textId="77777777" w:rsidR="005A660E" w:rsidRDefault="005A660E">
      <w:pPr>
        <w:tabs>
          <w:tab w:val="clear" w:pos="475"/>
          <w:tab w:val="clear" w:pos="950"/>
          <w:tab w:val="clear" w:pos="1440"/>
          <w:tab w:val="center" w:pos="4680"/>
        </w:tabs>
        <w:sectPr w:rsidR="005A660E">
          <w:headerReference w:type="default" r:id="rId13"/>
          <w:footerReference w:type="default" r:id="rId14"/>
          <w:footerReference w:type="first" r:id="rId15"/>
          <w:pgSz w:w="12240" w:h="15840"/>
          <w:pgMar w:top="1440" w:right="1440" w:bottom="1440" w:left="1440" w:header="720" w:footer="432" w:gutter="0"/>
          <w:pgNumType w:start="1"/>
          <w:cols w:space="720"/>
          <w:titlePg/>
          <w:docGrid w:linePitch="381"/>
        </w:sectPr>
      </w:pPr>
    </w:p>
    <w:p w14:paraId="3C63B6C1" w14:textId="77777777" w:rsidR="005A660E" w:rsidRDefault="00831C7D">
      <w:pPr>
        <w:pStyle w:val="Heading1"/>
        <w:rPr>
          <w:spacing w:val="20"/>
        </w:rPr>
      </w:pPr>
      <w:bookmarkStart w:id="19" w:name="_Toc95847575"/>
      <w:bookmarkStart w:id="20" w:name="_Toc111015054"/>
      <w:r>
        <w:rPr>
          <w:spacing w:val="20"/>
        </w:rPr>
        <w:lastRenderedPageBreak/>
        <w:t>Table of Contents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bookmarkEnd w:id="20"/>
    </w:p>
    <w:p w14:paraId="5866EA65" w14:textId="77777777" w:rsidR="005A660E" w:rsidRDefault="00831C7D">
      <w:pPr>
        <w:pStyle w:val="BodyTextSingleSpaced"/>
        <w:spacing w:after="240"/>
        <w:jc w:val="right"/>
        <w:rPr>
          <w:b/>
          <w:bCs/>
          <w:noProof/>
        </w:rPr>
      </w:pPr>
      <w:r>
        <w:rPr>
          <w:b/>
          <w:bCs/>
          <w:noProof/>
        </w:rPr>
        <w:t>Page</w:t>
      </w:r>
      <w:bookmarkStart w:id="21" w:name="_Toc434487776"/>
      <w:bookmarkStart w:id="22" w:name="_Toc434488032"/>
    </w:p>
    <w:p w14:paraId="7F3B0E30" w14:textId="77777777" w:rsidR="005A660E" w:rsidRDefault="005A660E">
      <w:pPr>
        <w:pStyle w:val="BodyTextSingleSpaced"/>
        <w:spacing w:after="240"/>
        <w:jc w:val="right"/>
        <w:rPr>
          <w:b/>
          <w:bCs/>
          <w:noProof/>
        </w:rPr>
      </w:pPr>
    </w:p>
    <w:p w14:paraId="179C3E0D" w14:textId="77777777" w:rsidR="005A660E" w:rsidRDefault="00831C7D">
      <w:pPr>
        <w:pStyle w:val="TOC1"/>
        <w:spacing w:after="80" w:line="240" w:lineRule="auto"/>
        <w:ind w:left="360" w:hanging="360"/>
        <w:rPr>
          <w:rFonts w:asciiTheme="minorHAnsi" w:eastAsiaTheme="minorEastAsia" w:hAnsiTheme="minorHAnsi" w:cstheme="minorBidi"/>
          <w:noProof/>
          <w:sz w:val="24"/>
          <w:szCs w:val="24"/>
        </w:rPr>
      </w:pPr>
      <w:r>
        <w:rPr>
          <w:rFonts w:eastAsiaTheme="minorEastAsia" w:cstheme="minorBidi"/>
          <w:b/>
          <w:bCs/>
          <w:noProof/>
          <w:sz w:val="22"/>
          <w:szCs w:val="22"/>
        </w:rPr>
        <w:fldChar w:fldCharType="begin"/>
      </w:r>
      <w:r>
        <w:rPr>
          <w:rFonts w:eastAsiaTheme="minorEastAsia" w:cstheme="minorBidi"/>
          <w:b/>
          <w:bCs/>
          <w:noProof/>
          <w:sz w:val="22"/>
          <w:szCs w:val="22"/>
        </w:rPr>
        <w:instrText xml:space="preserve"> TOC \o "1-3" \h \z \u </w:instrText>
      </w:r>
      <w:r>
        <w:rPr>
          <w:rFonts w:eastAsiaTheme="minorEastAsia" w:cstheme="minorBidi"/>
          <w:b/>
          <w:bCs/>
          <w:noProof/>
          <w:sz w:val="22"/>
          <w:szCs w:val="22"/>
        </w:rPr>
        <w:fldChar w:fldCharType="separate"/>
      </w:r>
      <w:hyperlink w:anchor="_Toc111015053" w:history="1">
        <w:r>
          <w:rPr>
            <w:rStyle w:val="Hyperlink"/>
            <w:noProof/>
          </w:rPr>
          <w:t>Certificate of Interested Persons and Corporate Disclosure Statement</w:t>
        </w:r>
        <w:r>
          <w:rPr>
            <w:noProof/>
            <w:webHidden/>
          </w:rPr>
          <w:tab/>
          <w:t>C-</w:t>
        </w:r>
        <w:r>
          <w:rPr>
            <w:noProof/>
            <w:webHidden/>
          </w:rPr>
          <w:fldChar w:fldCharType="begin"/>
        </w:r>
        <w:r>
          <w:rPr>
            <w:noProof/>
            <w:webHidden/>
          </w:rPr>
          <w:instrText xml:space="preserve"> PAGEREF _Toc111015053 \h </w:instrText>
        </w:r>
        <w:r>
          <w:rPr>
            <w:noProof/>
            <w:webHidden/>
          </w:rPr>
        </w:r>
        <w:r>
          <w:rPr>
            <w:noProof/>
            <w:webHidden/>
          </w:rPr>
          <w:fldChar w:fldCharType="separate"/>
        </w:r>
        <w:r>
          <w:rPr>
            <w:noProof/>
            <w:webHidden/>
          </w:rPr>
          <w:t>1</w:t>
        </w:r>
        <w:r>
          <w:rPr>
            <w:noProof/>
            <w:webHidden/>
          </w:rPr>
          <w:fldChar w:fldCharType="end"/>
        </w:r>
      </w:hyperlink>
    </w:p>
    <w:p w14:paraId="600540E1" w14:textId="77777777" w:rsidR="005A660E" w:rsidRDefault="00ED684B">
      <w:pPr>
        <w:pStyle w:val="TOC1"/>
        <w:spacing w:after="80" w:line="240" w:lineRule="auto"/>
        <w:ind w:left="360" w:right="1008" w:hanging="360"/>
        <w:rPr>
          <w:rFonts w:asciiTheme="minorHAnsi" w:eastAsiaTheme="minorEastAsia" w:hAnsiTheme="minorHAnsi" w:cstheme="minorBidi"/>
          <w:noProof/>
          <w:sz w:val="24"/>
          <w:szCs w:val="24"/>
        </w:rPr>
      </w:pPr>
      <w:hyperlink w:anchor="_Toc111015054" w:history="1">
        <w:r w:rsidR="00831C7D">
          <w:rPr>
            <w:rStyle w:val="Hyperlink"/>
            <w:noProof/>
          </w:rPr>
          <w:t>Table of Contents</w:t>
        </w:r>
        <w:r w:rsidR="00831C7D">
          <w:rPr>
            <w:noProof/>
            <w:webHidden/>
          </w:rPr>
          <w:tab/>
        </w:r>
        <w:r w:rsidR="00831C7D">
          <w:rPr>
            <w:noProof/>
            <w:webHidden/>
          </w:rPr>
          <w:fldChar w:fldCharType="begin"/>
        </w:r>
        <w:r w:rsidR="00831C7D">
          <w:rPr>
            <w:noProof/>
            <w:webHidden/>
          </w:rPr>
          <w:instrText xml:space="preserve"> PAGEREF _Toc111015054 \h </w:instrText>
        </w:r>
        <w:r w:rsidR="00831C7D">
          <w:rPr>
            <w:noProof/>
            <w:webHidden/>
          </w:rPr>
        </w:r>
        <w:r w:rsidR="00831C7D">
          <w:rPr>
            <w:noProof/>
            <w:webHidden/>
          </w:rPr>
          <w:fldChar w:fldCharType="separate"/>
        </w:r>
        <w:r w:rsidR="00831C7D">
          <w:rPr>
            <w:noProof/>
            <w:webHidden/>
          </w:rPr>
          <w:t>i</w:t>
        </w:r>
        <w:r w:rsidR="00831C7D">
          <w:rPr>
            <w:noProof/>
            <w:webHidden/>
          </w:rPr>
          <w:fldChar w:fldCharType="end"/>
        </w:r>
      </w:hyperlink>
    </w:p>
    <w:p w14:paraId="4496CE81" w14:textId="77777777" w:rsidR="005A660E" w:rsidRDefault="00ED684B">
      <w:pPr>
        <w:pStyle w:val="TOC1"/>
        <w:spacing w:after="80" w:line="240" w:lineRule="auto"/>
        <w:ind w:left="360" w:right="1008" w:hanging="360"/>
        <w:rPr>
          <w:rFonts w:asciiTheme="minorHAnsi" w:eastAsiaTheme="minorEastAsia" w:hAnsiTheme="minorHAnsi" w:cstheme="minorBidi"/>
          <w:noProof/>
          <w:sz w:val="24"/>
          <w:szCs w:val="24"/>
        </w:rPr>
      </w:pPr>
      <w:hyperlink w:anchor="_Toc111015055" w:history="1">
        <w:r w:rsidR="00831C7D">
          <w:rPr>
            <w:rStyle w:val="Hyperlink"/>
            <w:noProof/>
          </w:rPr>
          <w:t>Table of Citations</w:t>
        </w:r>
        <w:r w:rsidR="00831C7D">
          <w:rPr>
            <w:noProof/>
            <w:webHidden/>
          </w:rPr>
          <w:tab/>
        </w:r>
        <w:r w:rsidR="00831C7D">
          <w:rPr>
            <w:noProof/>
            <w:webHidden/>
          </w:rPr>
          <w:fldChar w:fldCharType="begin"/>
        </w:r>
        <w:r w:rsidR="00831C7D">
          <w:rPr>
            <w:noProof/>
            <w:webHidden/>
          </w:rPr>
          <w:instrText xml:space="preserve"> PAGEREF _Toc111015055 \h </w:instrText>
        </w:r>
        <w:r w:rsidR="00831C7D">
          <w:rPr>
            <w:noProof/>
            <w:webHidden/>
          </w:rPr>
        </w:r>
        <w:r w:rsidR="00831C7D">
          <w:rPr>
            <w:noProof/>
            <w:webHidden/>
          </w:rPr>
          <w:fldChar w:fldCharType="separate"/>
        </w:r>
        <w:r w:rsidR="00831C7D">
          <w:rPr>
            <w:noProof/>
            <w:webHidden/>
          </w:rPr>
          <w:t>ii</w:t>
        </w:r>
        <w:r w:rsidR="00831C7D">
          <w:rPr>
            <w:noProof/>
            <w:webHidden/>
          </w:rPr>
          <w:fldChar w:fldCharType="end"/>
        </w:r>
      </w:hyperlink>
    </w:p>
    <w:p w14:paraId="687D11BD" w14:textId="77777777" w:rsidR="005A660E" w:rsidRDefault="00ED684B">
      <w:pPr>
        <w:pStyle w:val="TOC1"/>
        <w:spacing w:after="80" w:line="240" w:lineRule="auto"/>
        <w:ind w:left="360" w:right="1008" w:hanging="360"/>
        <w:rPr>
          <w:rFonts w:asciiTheme="minorHAnsi" w:eastAsiaTheme="minorEastAsia" w:hAnsiTheme="minorHAnsi" w:cstheme="minorBidi"/>
          <w:noProof/>
          <w:sz w:val="24"/>
          <w:szCs w:val="24"/>
        </w:rPr>
      </w:pPr>
      <w:hyperlink w:anchor="_Toc111015056" w:history="1">
        <w:r w:rsidR="00831C7D">
          <w:rPr>
            <w:rStyle w:val="Hyperlink"/>
            <w:noProof/>
          </w:rPr>
          <w:t>Interest of Amicus Curiae</w:t>
        </w:r>
        <w:r w:rsidR="00831C7D">
          <w:rPr>
            <w:noProof/>
            <w:webHidden/>
          </w:rPr>
          <w:tab/>
        </w:r>
        <w:r w:rsidR="00831C7D">
          <w:rPr>
            <w:noProof/>
            <w:webHidden/>
          </w:rPr>
          <w:fldChar w:fldCharType="begin"/>
        </w:r>
        <w:r w:rsidR="00831C7D">
          <w:rPr>
            <w:noProof/>
            <w:webHidden/>
          </w:rPr>
          <w:instrText xml:space="preserve"> PAGEREF _Toc111015056 \h </w:instrText>
        </w:r>
        <w:r w:rsidR="00831C7D">
          <w:rPr>
            <w:noProof/>
            <w:webHidden/>
          </w:rPr>
        </w:r>
        <w:r w:rsidR="00831C7D">
          <w:rPr>
            <w:noProof/>
            <w:webHidden/>
          </w:rPr>
          <w:fldChar w:fldCharType="separate"/>
        </w:r>
        <w:r w:rsidR="00831C7D">
          <w:rPr>
            <w:noProof/>
            <w:webHidden/>
          </w:rPr>
          <w:t>1</w:t>
        </w:r>
        <w:r w:rsidR="00831C7D">
          <w:rPr>
            <w:noProof/>
            <w:webHidden/>
          </w:rPr>
          <w:fldChar w:fldCharType="end"/>
        </w:r>
      </w:hyperlink>
    </w:p>
    <w:p w14:paraId="211E6890" w14:textId="77777777" w:rsidR="005A660E" w:rsidRDefault="00ED684B">
      <w:pPr>
        <w:pStyle w:val="TOC1"/>
        <w:spacing w:after="80" w:line="240" w:lineRule="auto"/>
        <w:ind w:left="360" w:right="1008" w:hanging="360"/>
        <w:rPr>
          <w:rFonts w:asciiTheme="minorHAnsi" w:eastAsiaTheme="minorEastAsia" w:hAnsiTheme="minorHAnsi" w:cstheme="minorBidi"/>
          <w:noProof/>
          <w:sz w:val="24"/>
          <w:szCs w:val="24"/>
        </w:rPr>
      </w:pPr>
      <w:hyperlink w:anchor="_Toc111015057" w:history="1">
        <w:r w:rsidR="00831C7D">
          <w:rPr>
            <w:rStyle w:val="Hyperlink"/>
            <w:noProof/>
          </w:rPr>
          <w:t>Statement of the Issue</w:t>
        </w:r>
        <w:r w:rsidR="00831C7D">
          <w:rPr>
            <w:noProof/>
            <w:webHidden/>
          </w:rPr>
          <w:tab/>
        </w:r>
        <w:r w:rsidR="00831C7D">
          <w:rPr>
            <w:noProof/>
            <w:webHidden/>
          </w:rPr>
          <w:fldChar w:fldCharType="begin"/>
        </w:r>
        <w:r w:rsidR="00831C7D">
          <w:rPr>
            <w:noProof/>
            <w:webHidden/>
          </w:rPr>
          <w:instrText xml:space="preserve"> PAGEREF _Toc111015057 \h </w:instrText>
        </w:r>
        <w:r w:rsidR="00831C7D">
          <w:rPr>
            <w:noProof/>
            <w:webHidden/>
          </w:rPr>
        </w:r>
        <w:r w:rsidR="00831C7D">
          <w:rPr>
            <w:noProof/>
            <w:webHidden/>
          </w:rPr>
          <w:fldChar w:fldCharType="separate"/>
        </w:r>
        <w:r w:rsidR="00831C7D">
          <w:rPr>
            <w:noProof/>
            <w:webHidden/>
          </w:rPr>
          <w:t>2</w:t>
        </w:r>
        <w:r w:rsidR="00831C7D">
          <w:rPr>
            <w:noProof/>
            <w:webHidden/>
          </w:rPr>
          <w:fldChar w:fldCharType="end"/>
        </w:r>
      </w:hyperlink>
    </w:p>
    <w:p w14:paraId="269E1B2E" w14:textId="77777777" w:rsidR="005A660E" w:rsidRDefault="00ED684B">
      <w:pPr>
        <w:pStyle w:val="TOC1"/>
        <w:spacing w:after="80" w:line="240" w:lineRule="auto"/>
        <w:ind w:left="360" w:right="1008" w:hanging="360"/>
        <w:rPr>
          <w:rFonts w:asciiTheme="minorHAnsi" w:eastAsiaTheme="minorEastAsia" w:hAnsiTheme="minorHAnsi" w:cstheme="minorBidi"/>
          <w:noProof/>
          <w:sz w:val="24"/>
          <w:szCs w:val="24"/>
        </w:rPr>
      </w:pPr>
      <w:hyperlink w:anchor="_Toc111015058" w:history="1">
        <w:r w:rsidR="00831C7D">
          <w:rPr>
            <w:rStyle w:val="Hyperlink"/>
            <w:noProof/>
          </w:rPr>
          <w:t>Summary of the Argument</w:t>
        </w:r>
        <w:r w:rsidR="00831C7D">
          <w:rPr>
            <w:noProof/>
            <w:webHidden/>
          </w:rPr>
          <w:tab/>
        </w:r>
        <w:r w:rsidR="00831C7D">
          <w:rPr>
            <w:noProof/>
            <w:webHidden/>
          </w:rPr>
          <w:fldChar w:fldCharType="begin"/>
        </w:r>
        <w:r w:rsidR="00831C7D">
          <w:rPr>
            <w:noProof/>
            <w:webHidden/>
          </w:rPr>
          <w:instrText xml:space="preserve"> PAGEREF _Toc111015058 \h </w:instrText>
        </w:r>
        <w:r w:rsidR="00831C7D">
          <w:rPr>
            <w:noProof/>
            <w:webHidden/>
          </w:rPr>
        </w:r>
        <w:r w:rsidR="00831C7D">
          <w:rPr>
            <w:noProof/>
            <w:webHidden/>
          </w:rPr>
          <w:fldChar w:fldCharType="separate"/>
        </w:r>
        <w:r w:rsidR="00831C7D">
          <w:rPr>
            <w:noProof/>
            <w:webHidden/>
          </w:rPr>
          <w:t>2</w:t>
        </w:r>
        <w:r w:rsidR="00831C7D">
          <w:rPr>
            <w:noProof/>
            <w:webHidden/>
          </w:rPr>
          <w:fldChar w:fldCharType="end"/>
        </w:r>
      </w:hyperlink>
    </w:p>
    <w:p w14:paraId="1A857666" w14:textId="77777777" w:rsidR="005A660E" w:rsidRDefault="00ED684B">
      <w:pPr>
        <w:pStyle w:val="TOC1"/>
        <w:spacing w:after="80" w:line="240" w:lineRule="auto"/>
        <w:ind w:left="360" w:right="1008" w:hanging="360"/>
        <w:rPr>
          <w:rFonts w:asciiTheme="minorHAnsi" w:eastAsiaTheme="minorEastAsia" w:hAnsiTheme="minorHAnsi" w:cstheme="minorBidi"/>
          <w:noProof/>
          <w:sz w:val="24"/>
          <w:szCs w:val="24"/>
        </w:rPr>
      </w:pPr>
      <w:hyperlink w:anchor="_Toc111015059" w:history="1">
        <w:r w:rsidR="00831C7D">
          <w:rPr>
            <w:rStyle w:val="Hyperlink"/>
            <w:noProof/>
          </w:rPr>
          <w:t>Argument</w:t>
        </w:r>
        <w:r w:rsidR="00831C7D">
          <w:rPr>
            <w:noProof/>
            <w:webHidden/>
          </w:rPr>
          <w:tab/>
        </w:r>
        <w:r w:rsidR="00831C7D">
          <w:rPr>
            <w:noProof/>
            <w:webHidden/>
          </w:rPr>
          <w:fldChar w:fldCharType="begin"/>
        </w:r>
        <w:r w:rsidR="00831C7D">
          <w:rPr>
            <w:noProof/>
            <w:webHidden/>
          </w:rPr>
          <w:instrText xml:space="preserve"> PAGEREF _Toc111015059 \h </w:instrText>
        </w:r>
        <w:r w:rsidR="00831C7D">
          <w:rPr>
            <w:noProof/>
            <w:webHidden/>
          </w:rPr>
        </w:r>
        <w:r w:rsidR="00831C7D">
          <w:rPr>
            <w:noProof/>
            <w:webHidden/>
          </w:rPr>
          <w:fldChar w:fldCharType="separate"/>
        </w:r>
        <w:r w:rsidR="00831C7D">
          <w:rPr>
            <w:noProof/>
            <w:webHidden/>
          </w:rPr>
          <w:t>4</w:t>
        </w:r>
        <w:r w:rsidR="00831C7D">
          <w:rPr>
            <w:noProof/>
            <w:webHidden/>
          </w:rPr>
          <w:fldChar w:fldCharType="end"/>
        </w:r>
      </w:hyperlink>
    </w:p>
    <w:p w14:paraId="0D1BF3DC" w14:textId="77777777" w:rsidR="005A660E" w:rsidRDefault="00ED684B">
      <w:pPr>
        <w:pStyle w:val="TOC2"/>
        <w:ind w:left="475"/>
        <w:rPr>
          <w:rFonts w:asciiTheme="minorHAnsi" w:eastAsiaTheme="minorEastAsia" w:hAnsiTheme="minorHAnsi" w:cstheme="minorBidi"/>
          <w:noProof/>
          <w:sz w:val="24"/>
          <w:szCs w:val="24"/>
        </w:rPr>
      </w:pPr>
      <w:hyperlink w:anchor="_Toc111015060" w:history="1">
        <w:r w:rsidR="00831C7D">
          <w:rPr>
            <w:rStyle w:val="Hyperlink"/>
            <w:noProof/>
          </w:rPr>
          <w:t>I.</w:t>
        </w:r>
        <w:r w:rsidR="00831C7D">
          <w:rPr>
            <w:rFonts w:asciiTheme="minorHAnsi" w:eastAsiaTheme="minorEastAsia" w:hAnsiTheme="minorHAnsi" w:cstheme="minorBidi"/>
            <w:noProof/>
            <w:sz w:val="24"/>
            <w:szCs w:val="24"/>
          </w:rPr>
          <w:tab/>
        </w:r>
        <w:r w:rsidR="00831C7D">
          <w:rPr>
            <w:rStyle w:val="Hyperlink"/>
            <w:noProof/>
          </w:rPr>
          <w:t>The Supreme Court has repeatedly held that government may not discriminate against religious speech.</w:t>
        </w:r>
        <w:r w:rsidR="00831C7D">
          <w:rPr>
            <w:noProof/>
            <w:webHidden/>
          </w:rPr>
          <w:tab/>
        </w:r>
        <w:r w:rsidR="00831C7D">
          <w:rPr>
            <w:noProof/>
            <w:webHidden/>
          </w:rPr>
          <w:fldChar w:fldCharType="begin"/>
        </w:r>
        <w:r w:rsidR="00831C7D">
          <w:rPr>
            <w:noProof/>
            <w:webHidden/>
          </w:rPr>
          <w:instrText xml:space="preserve"> PAGEREF _Toc111015060 \h </w:instrText>
        </w:r>
        <w:r w:rsidR="00831C7D">
          <w:rPr>
            <w:noProof/>
            <w:webHidden/>
          </w:rPr>
        </w:r>
        <w:r w:rsidR="00831C7D">
          <w:rPr>
            <w:noProof/>
            <w:webHidden/>
          </w:rPr>
          <w:fldChar w:fldCharType="separate"/>
        </w:r>
        <w:r w:rsidR="00831C7D">
          <w:rPr>
            <w:noProof/>
            <w:webHidden/>
          </w:rPr>
          <w:t>4</w:t>
        </w:r>
        <w:r w:rsidR="00831C7D">
          <w:rPr>
            <w:noProof/>
            <w:webHidden/>
          </w:rPr>
          <w:fldChar w:fldCharType="end"/>
        </w:r>
      </w:hyperlink>
    </w:p>
    <w:p w14:paraId="0466F95F" w14:textId="77777777" w:rsidR="005A660E" w:rsidRDefault="00ED684B">
      <w:pPr>
        <w:pStyle w:val="TOC2"/>
        <w:ind w:left="475"/>
        <w:rPr>
          <w:rFonts w:asciiTheme="minorHAnsi" w:eastAsiaTheme="minorEastAsia" w:hAnsiTheme="minorHAnsi" w:cstheme="minorBidi"/>
          <w:noProof/>
          <w:sz w:val="24"/>
          <w:szCs w:val="24"/>
        </w:rPr>
      </w:pPr>
      <w:hyperlink w:anchor="_Toc111015061" w:history="1">
        <w:r w:rsidR="00831C7D">
          <w:rPr>
            <w:rStyle w:val="Hyperlink"/>
            <w:noProof/>
          </w:rPr>
          <w:t>II.</w:t>
        </w:r>
        <w:r w:rsidR="00831C7D">
          <w:rPr>
            <w:rFonts w:asciiTheme="minorHAnsi" w:eastAsiaTheme="minorEastAsia" w:hAnsiTheme="minorHAnsi" w:cstheme="minorBidi"/>
            <w:noProof/>
            <w:sz w:val="24"/>
            <w:szCs w:val="24"/>
          </w:rPr>
          <w:tab/>
        </w:r>
        <w:r w:rsidR="00831C7D">
          <w:rPr>
            <w:rStyle w:val="Hyperlink"/>
            <w:noProof/>
          </w:rPr>
          <w:t>This case demonstrates the same error corrected in previous Supreme Court cases.</w:t>
        </w:r>
        <w:r w:rsidR="00831C7D">
          <w:rPr>
            <w:noProof/>
            <w:webHidden/>
          </w:rPr>
          <w:tab/>
        </w:r>
        <w:r w:rsidR="00831C7D">
          <w:rPr>
            <w:noProof/>
            <w:webHidden/>
          </w:rPr>
          <w:fldChar w:fldCharType="begin"/>
        </w:r>
        <w:r w:rsidR="00831C7D">
          <w:rPr>
            <w:noProof/>
            <w:webHidden/>
          </w:rPr>
          <w:instrText xml:space="preserve"> PAGEREF _Toc111015061 \h </w:instrText>
        </w:r>
        <w:r w:rsidR="00831C7D">
          <w:rPr>
            <w:noProof/>
            <w:webHidden/>
          </w:rPr>
        </w:r>
        <w:r w:rsidR="00831C7D">
          <w:rPr>
            <w:noProof/>
            <w:webHidden/>
          </w:rPr>
          <w:fldChar w:fldCharType="separate"/>
        </w:r>
        <w:r w:rsidR="00831C7D">
          <w:rPr>
            <w:noProof/>
            <w:webHidden/>
          </w:rPr>
          <w:t>8</w:t>
        </w:r>
        <w:r w:rsidR="00831C7D">
          <w:rPr>
            <w:noProof/>
            <w:webHidden/>
          </w:rPr>
          <w:fldChar w:fldCharType="end"/>
        </w:r>
      </w:hyperlink>
    </w:p>
    <w:p w14:paraId="7D7958B2" w14:textId="77777777" w:rsidR="005A660E" w:rsidRDefault="00ED684B">
      <w:pPr>
        <w:pStyle w:val="TOC1"/>
        <w:spacing w:after="80" w:line="240" w:lineRule="auto"/>
        <w:ind w:left="360" w:right="1008" w:hanging="360"/>
        <w:rPr>
          <w:rFonts w:asciiTheme="minorHAnsi" w:eastAsiaTheme="minorEastAsia" w:hAnsiTheme="minorHAnsi" w:cstheme="minorBidi"/>
          <w:noProof/>
          <w:sz w:val="24"/>
          <w:szCs w:val="24"/>
        </w:rPr>
      </w:pPr>
      <w:hyperlink w:anchor="_Toc111015062" w:history="1">
        <w:r w:rsidR="00831C7D">
          <w:rPr>
            <w:rStyle w:val="Hyperlink"/>
            <w:noProof/>
          </w:rPr>
          <w:t>Conclusion</w:t>
        </w:r>
        <w:r w:rsidR="00831C7D">
          <w:rPr>
            <w:noProof/>
            <w:webHidden/>
          </w:rPr>
          <w:tab/>
        </w:r>
        <w:r w:rsidR="00831C7D">
          <w:rPr>
            <w:noProof/>
            <w:webHidden/>
          </w:rPr>
          <w:fldChar w:fldCharType="begin"/>
        </w:r>
        <w:r w:rsidR="00831C7D">
          <w:rPr>
            <w:noProof/>
            <w:webHidden/>
          </w:rPr>
          <w:instrText xml:space="preserve"> PAGEREF _Toc111015062 \h </w:instrText>
        </w:r>
        <w:r w:rsidR="00831C7D">
          <w:rPr>
            <w:noProof/>
            <w:webHidden/>
          </w:rPr>
        </w:r>
        <w:r w:rsidR="00831C7D">
          <w:rPr>
            <w:noProof/>
            <w:webHidden/>
          </w:rPr>
          <w:fldChar w:fldCharType="separate"/>
        </w:r>
        <w:r w:rsidR="00831C7D">
          <w:rPr>
            <w:noProof/>
            <w:webHidden/>
          </w:rPr>
          <w:t>11</w:t>
        </w:r>
        <w:r w:rsidR="00831C7D">
          <w:rPr>
            <w:noProof/>
            <w:webHidden/>
          </w:rPr>
          <w:fldChar w:fldCharType="end"/>
        </w:r>
      </w:hyperlink>
    </w:p>
    <w:p w14:paraId="334CA4CB" w14:textId="77777777" w:rsidR="005A660E" w:rsidRDefault="00ED684B">
      <w:pPr>
        <w:pStyle w:val="TOC1"/>
        <w:spacing w:after="80" w:line="240" w:lineRule="auto"/>
        <w:ind w:left="360" w:right="1008" w:hanging="360"/>
        <w:rPr>
          <w:rFonts w:asciiTheme="minorHAnsi" w:eastAsiaTheme="minorEastAsia" w:hAnsiTheme="minorHAnsi" w:cstheme="minorBidi"/>
          <w:noProof/>
          <w:sz w:val="24"/>
          <w:szCs w:val="24"/>
        </w:rPr>
      </w:pPr>
      <w:hyperlink w:anchor="_Toc111015063" w:history="1">
        <w:r w:rsidR="00831C7D">
          <w:rPr>
            <w:rStyle w:val="Hyperlink"/>
            <w:noProof/>
          </w:rPr>
          <w:t>Certificate of Service</w:t>
        </w:r>
        <w:r w:rsidR="00831C7D">
          <w:rPr>
            <w:noProof/>
            <w:webHidden/>
          </w:rPr>
          <w:tab/>
        </w:r>
        <w:r w:rsidR="00831C7D">
          <w:rPr>
            <w:noProof/>
            <w:webHidden/>
          </w:rPr>
          <w:fldChar w:fldCharType="begin"/>
        </w:r>
        <w:r w:rsidR="00831C7D">
          <w:rPr>
            <w:noProof/>
            <w:webHidden/>
          </w:rPr>
          <w:instrText xml:space="preserve"> PAGEREF _Toc111015063 \h </w:instrText>
        </w:r>
        <w:r w:rsidR="00831C7D">
          <w:rPr>
            <w:noProof/>
            <w:webHidden/>
          </w:rPr>
        </w:r>
        <w:r w:rsidR="00831C7D">
          <w:rPr>
            <w:noProof/>
            <w:webHidden/>
          </w:rPr>
          <w:fldChar w:fldCharType="separate"/>
        </w:r>
        <w:r w:rsidR="00831C7D">
          <w:rPr>
            <w:noProof/>
            <w:webHidden/>
          </w:rPr>
          <w:t>12</w:t>
        </w:r>
        <w:r w:rsidR="00831C7D">
          <w:rPr>
            <w:noProof/>
            <w:webHidden/>
          </w:rPr>
          <w:fldChar w:fldCharType="end"/>
        </w:r>
      </w:hyperlink>
    </w:p>
    <w:p w14:paraId="1E5ACA9A" w14:textId="77777777" w:rsidR="005A660E" w:rsidRDefault="00ED684B">
      <w:pPr>
        <w:pStyle w:val="TOC1"/>
        <w:spacing w:after="80" w:line="240" w:lineRule="auto"/>
        <w:ind w:left="360" w:right="1008" w:hanging="360"/>
        <w:rPr>
          <w:rFonts w:asciiTheme="minorHAnsi" w:eastAsiaTheme="minorEastAsia" w:hAnsiTheme="minorHAnsi" w:cstheme="minorBidi"/>
          <w:noProof/>
          <w:sz w:val="24"/>
          <w:szCs w:val="24"/>
        </w:rPr>
      </w:pPr>
      <w:hyperlink w:anchor="_Toc111015064" w:history="1">
        <w:r w:rsidR="00831C7D">
          <w:rPr>
            <w:rStyle w:val="Hyperlink"/>
            <w:noProof/>
          </w:rPr>
          <w:t>Certificate of Compliance</w:t>
        </w:r>
        <w:r w:rsidR="00831C7D">
          <w:rPr>
            <w:noProof/>
            <w:webHidden/>
          </w:rPr>
          <w:tab/>
        </w:r>
        <w:r w:rsidR="00831C7D">
          <w:rPr>
            <w:noProof/>
            <w:webHidden/>
          </w:rPr>
          <w:fldChar w:fldCharType="begin"/>
        </w:r>
        <w:r w:rsidR="00831C7D">
          <w:rPr>
            <w:noProof/>
            <w:webHidden/>
          </w:rPr>
          <w:instrText xml:space="preserve"> PAGEREF _Toc111015064 \h </w:instrText>
        </w:r>
        <w:r w:rsidR="00831C7D">
          <w:rPr>
            <w:noProof/>
            <w:webHidden/>
          </w:rPr>
        </w:r>
        <w:r w:rsidR="00831C7D">
          <w:rPr>
            <w:noProof/>
            <w:webHidden/>
          </w:rPr>
          <w:fldChar w:fldCharType="separate"/>
        </w:r>
        <w:r w:rsidR="00831C7D">
          <w:rPr>
            <w:noProof/>
            <w:webHidden/>
          </w:rPr>
          <w:t>12</w:t>
        </w:r>
        <w:r w:rsidR="00831C7D">
          <w:rPr>
            <w:noProof/>
            <w:webHidden/>
          </w:rPr>
          <w:fldChar w:fldCharType="end"/>
        </w:r>
      </w:hyperlink>
    </w:p>
    <w:p w14:paraId="1C1B3B08" w14:textId="77777777" w:rsidR="005A660E" w:rsidRDefault="00831C7D">
      <w:pPr>
        <w:pStyle w:val="BodyTextSingleSpaced"/>
        <w:spacing w:before="0" w:afterLines="80" w:after="192"/>
        <w:ind w:left="360" w:right="1008" w:hanging="360"/>
        <w:jc w:val="left"/>
        <w:rPr>
          <w:rFonts w:eastAsiaTheme="minorEastAsia" w:cstheme="minorBidi"/>
          <w:b/>
          <w:bCs/>
          <w:noProof/>
          <w:sz w:val="22"/>
          <w:szCs w:val="22"/>
        </w:rPr>
      </w:pPr>
      <w:r>
        <w:rPr>
          <w:rFonts w:eastAsiaTheme="minorEastAsia" w:cstheme="minorBidi"/>
          <w:b/>
          <w:bCs/>
          <w:noProof/>
          <w:sz w:val="22"/>
          <w:szCs w:val="22"/>
        </w:rPr>
        <w:fldChar w:fldCharType="end"/>
      </w:r>
    </w:p>
    <w:p w14:paraId="5BB46783" w14:textId="77777777" w:rsidR="005A660E" w:rsidRDefault="00831C7D">
      <w:pPr>
        <w:tabs>
          <w:tab w:val="clear" w:pos="475"/>
          <w:tab w:val="clear" w:pos="950"/>
          <w:tab w:val="clear" w:pos="1440"/>
        </w:tabs>
        <w:autoSpaceDE/>
        <w:autoSpaceDN/>
        <w:adjustRightInd/>
        <w:spacing w:line="240" w:lineRule="auto"/>
        <w:rPr>
          <w:b/>
          <w:bCs/>
          <w:smallCaps/>
          <w:sz w:val="30"/>
          <w:szCs w:val="30"/>
        </w:rPr>
      </w:pPr>
      <w:bookmarkStart w:id="23" w:name="_Toc439673586"/>
      <w:bookmarkStart w:id="24" w:name="_Toc91166170"/>
      <w:r>
        <w:br w:type="page"/>
      </w:r>
    </w:p>
    <w:p w14:paraId="32F402FA" w14:textId="77777777" w:rsidR="005A660E" w:rsidRDefault="00831C7D">
      <w:pPr>
        <w:pStyle w:val="Heading1"/>
        <w:rPr>
          <w:spacing w:val="20"/>
        </w:rPr>
      </w:pPr>
      <w:bookmarkStart w:id="25" w:name="_Toc95847576"/>
      <w:bookmarkStart w:id="26" w:name="_Toc111015055"/>
      <w:r>
        <w:rPr>
          <w:spacing w:val="20"/>
        </w:rPr>
        <w:lastRenderedPageBreak/>
        <w:t xml:space="preserve">Table of </w:t>
      </w:r>
      <w:bookmarkEnd w:id="21"/>
      <w:bookmarkEnd w:id="22"/>
      <w:bookmarkEnd w:id="23"/>
      <w:bookmarkEnd w:id="24"/>
      <w:r>
        <w:rPr>
          <w:spacing w:val="20"/>
        </w:rPr>
        <w:t>Citations</w:t>
      </w:r>
      <w:bookmarkEnd w:id="25"/>
      <w:bookmarkEnd w:id="26"/>
    </w:p>
    <w:p w14:paraId="56230A5C" w14:textId="77777777" w:rsidR="005A660E" w:rsidRDefault="005A660E">
      <w:pPr>
        <w:pStyle w:val="BodyText"/>
        <w:spacing w:line="240" w:lineRule="auto"/>
        <w:jc w:val="right"/>
      </w:pPr>
    </w:p>
    <w:p w14:paraId="19514796" w14:textId="77777777" w:rsidR="005A660E" w:rsidRDefault="00831C7D">
      <w:pPr>
        <w:pStyle w:val="BATOAPageHeading"/>
        <w:rPr>
          <w:noProof/>
        </w:rPr>
      </w:pPr>
      <w:bookmarkStart w:id="27" w:name="_BA_Bookmark_BuildOutput"/>
      <w:bookmarkStart w:id="28" w:name="_BA_ScanRange_TOCTOA_Skip_7675B6_000001"/>
      <w:bookmarkStart w:id="29" w:name="_Ref434925651"/>
      <w:r>
        <w:rPr>
          <w:noProof/>
        </w:rPr>
        <w:tab/>
        <w:t>Page(s)</w:t>
      </w:r>
    </w:p>
    <w:bookmarkEnd w:id="27"/>
    <w:bookmarkEnd w:id="28"/>
    <w:p w14:paraId="5E340900" w14:textId="77777777" w:rsidR="005A660E" w:rsidRDefault="005A660E">
      <w:pPr>
        <w:tabs>
          <w:tab w:val="clear" w:pos="475"/>
          <w:tab w:val="clear" w:pos="950"/>
          <w:tab w:val="clear" w:pos="1440"/>
        </w:tabs>
        <w:autoSpaceDE/>
        <w:autoSpaceDN/>
        <w:adjustRightInd/>
        <w:spacing w:line="240" w:lineRule="auto"/>
        <w:rPr>
          <w:rFonts w:eastAsiaTheme="minorEastAsia" w:cstheme="minorBidi"/>
          <w:b/>
          <w:noProof/>
          <w:szCs w:val="28"/>
        </w:rPr>
      </w:pPr>
    </w:p>
    <w:p w14:paraId="0D4A3818" w14:textId="77777777" w:rsidR="005A660E" w:rsidRDefault="00831C7D">
      <w:pPr>
        <w:tabs>
          <w:tab w:val="clear" w:pos="475"/>
          <w:tab w:val="clear" w:pos="950"/>
          <w:tab w:val="clear" w:pos="1440"/>
        </w:tabs>
        <w:autoSpaceDE/>
        <w:autoSpaceDN/>
        <w:adjustRightInd/>
        <w:spacing w:line="240" w:lineRule="auto"/>
        <w:rPr>
          <w:rFonts w:eastAsiaTheme="minorEastAsia" w:cstheme="minorBidi"/>
          <w:b/>
          <w:noProof/>
          <w:szCs w:val="28"/>
        </w:rPr>
      </w:pPr>
      <w:bookmarkStart w:id="30" w:name="_Toc439673587"/>
      <w:r>
        <w:rPr>
          <w:rFonts w:eastAsiaTheme="minorEastAsia" w:cstheme="minorBidi"/>
          <w:b/>
          <w:noProof/>
          <w:szCs w:val="28"/>
        </w:rPr>
        <w:br w:type="page"/>
      </w:r>
    </w:p>
    <w:p w14:paraId="7356A431" w14:textId="77777777" w:rsidR="005A660E" w:rsidRDefault="005A660E">
      <w:pPr>
        <w:tabs>
          <w:tab w:val="clear" w:pos="475"/>
          <w:tab w:val="clear" w:pos="950"/>
          <w:tab w:val="clear" w:pos="1440"/>
        </w:tabs>
        <w:autoSpaceDE/>
        <w:autoSpaceDN/>
        <w:adjustRightInd/>
        <w:spacing w:line="240" w:lineRule="auto"/>
        <w:rPr>
          <w:rFonts w:eastAsiaTheme="minorEastAsia" w:cstheme="minorBidi"/>
          <w:b/>
          <w:noProof/>
          <w:szCs w:val="28"/>
        </w:rPr>
        <w:sectPr w:rsidR="005A660E">
          <w:headerReference w:type="default" r:id="rId16"/>
          <w:footerReference w:type="default" r:id="rId17"/>
          <w:headerReference w:type="first" r:id="rId18"/>
          <w:footerReference w:type="first" r:id="rId19"/>
          <w:pgSz w:w="12240" w:h="15840"/>
          <w:pgMar w:top="1440" w:right="1440" w:bottom="1440" w:left="1440" w:header="720" w:footer="144" w:gutter="0"/>
          <w:pgNumType w:fmt="lowerRoman" w:start="1"/>
          <w:cols w:space="720"/>
          <w:docGrid w:linePitch="381"/>
        </w:sectPr>
      </w:pPr>
    </w:p>
    <w:p w14:paraId="5DE5E3D6" w14:textId="77777777" w:rsidR="005A660E" w:rsidRDefault="00831C7D">
      <w:pPr>
        <w:pStyle w:val="Heading1"/>
        <w:rPr>
          <w:spacing w:val="20"/>
        </w:rPr>
      </w:pPr>
      <w:bookmarkStart w:id="31" w:name="_Toc95847577"/>
      <w:bookmarkStart w:id="32" w:name="_Toc111015056"/>
      <w:bookmarkStart w:id="33" w:name="_BA_Bookmark_ScanRange_All"/>
      <w:bookmarkStart w:id="34" w:name="_BA_ScanRange_Temp_All"/>
      <w:bookmarkEnd w:id="0"/>
      <w:r>
        <w:rPr>
          <w:spacing w:val="20"/>
        </w:rPr>
        <w:lastRenderedPageBreak/>
        <w:t>Interest of Amicus Curiae</w:t>
      </w:r>
      <w:bookmarkEnd w:id="31"/>
      <w:bookmarkEnd w:id="32"/>
    </w:p>
    <w:p w14:paraId="57626248" w14:textId="77777777" w:rsidR="005A660E" w:rsidRDefault="00831C7D">
      <w:pPr>
        <w:jc w:val="both"/>
      </w:pPr>
      <w:r>
        <w:tab/>
        <w:t>The Association of Christian Schools International (“ACSI”) is the world’s largest Protestant school association.</w:t>
      </w:r>
      <w:r>
        <w:rPr>
          <w:rStyle w:val="FootnoteReference"/>
        </w:rPr>
        <w:footnoteReference w:id="1"/>
      </w:r>
      <w:r>
        <w:t xml:space="preserve"> Founded in 1978, ACSI advances excellence in Christian education by strengthening Christian schools and equipping Christian educators worldwide to prepare students academically and inspire them to live as devoted followers of Jesus Christ. Headquartered in Colorado Springs, Colorado, ACSI supports over 5,000 member schools throughout the United States and around the world, has member schools in every state across America, supports eighteen global member offices around the world, and collectively serves over 1.2 million students. Its members include early education programs and schools, K-12 schools, international schools, higher education schools, and individuals. ACSI’s services to members include teacher and administrator certification, school accreditation, legal and legislative updates, curriculum, and textbook publishing. </w:t>
      </w:r>
    </w:p>
    <w:p w14:paraId="74614051" w14:textId="77777777" w:rsidR="005A660E" w:rsidRDefault="00831C7D">
      <w:pPr>
        <w:jc w:val="both"/>
      </w:pPr>
      <w:r>
        <w:tab/>
        <w:t xml:space="preserve">Consistent with the First Amendment’s guarantee of religious freedom, ACSI advocates for government neutrality towards religious individuals and organizations, including respect for a religious institution’s freedom to </w:t>
      </w:r>
      <w:r>
        <w:lastRenderedPageBreak/>
        <w:t>exercise its faith without the threat of exclusion from public programs, benefits, and the like.</w:t>
      </w:r>
    </w:p>
    <w:p w14:paraId="51ED4D4C" w14:textId="77777777" w:rsidR="005A660E" w:rsidRDefault="00831C7D">
      <w:pPr>
        <w:pStyle w:val="Heading1"/>
        <w:rPr>
          <w:spacing w:val="20"/>
        </w:rPr>
      </w:pPr>
      <w:bookmarkStart w:id="37" w:name="_Toc95847578"/>
      <w:bookmarkStart w:id="38" w:name="_Toc111015057"/>
      <w:r>
        <w:rPr>
          <w:spacing w:val="20"/>
        </w:rPr>
        <w:t>Statement of the Issue</w:t>
      </w:r>
      <w:bookmarkEnd w:id="37"/>
      <w:bookmarkEnd w:id="38"/>
    </w:p>
    <w:p w14:paraId="17BB4FC7" w14:textId="77777777" w:rsidR="005A660E" w:rsidRDefault="00831C7D">
      <w:pPr>
        <w:pStyle w:val="BodyText"/>
        <w:rPr>
          <w:szCs w:val="28"/>
        </w:rPr>
      </w:pPr>
      <w:r>
        <w:rPr>
          <w:szCs w:val="28"/>
        </w:rPr>
        <w:t xml:space="preserve">Whether a state actor violated free-exercise and free-speech rights by denying a religious school access to a stadium loudspeaker to engage in a communal pregame prayer at a championship football game between two Christian schools. </w:t>
      </w:r>
    </w:p>
    <w:p w14:paraId="07F03FBE" w14:textId="77777777" w:rsidR="005A660E" w:rsidRDefault="00831C7D">
      <w:pPr>
        <w:pStyle w:val="Heading1"/>
        <w:rPr>
          <w:spacing w:val="20"/>
        </w:rPr>
      </w:pPr>
      <w:bookmarkStart w:id="39" w:name="_Toc95847579"/>
      <w:bookmarkStart w:id="40" w:name="_Toc111015058"/>
      <w:r>
        <w:rPr>
          <w:spacing w:val="20"/>
        </w:rPr>
        <w:t>Summary of the Argument</w:t>
      </w:r>
      <w:bookmarkEnd w:id="39"/>
      <w:bookmarkEnd w:id="40"/>
    </w:p>
    <w:p w14:paraId="26CA0336" w14:textId="77777777" w:rsidR="005A660E" w:rsidRDefault="00831C7D">
      <w:pPr>
        <w:tabs>
          <w:tab w:val="clear" w:pos="475"/>
          <w:tab w:val="clear" w:pos="950"/>
          <w:tab w:val="clear" w:pos="1440"/>
          <w:tab w:val="left" w:pos="360"/>
          <w:tab w:val="left" w:pos="450"/>
        </w:tabs>
        <w:autoSpaceDE/>
        <w:autoSpaceDN/>
        <w:adjustRightInd/>
        <w:jc w:val="both"/>
      </w:pPr>
      <w:r>
        <w:tab/>
        <w:t xml:space="preserve">The district court’s decision in this case commits the same error the Supreme Court corrected in two recent decisions issued after the judgment below: </w:t>
      </w:r>
      <w:r>
        <w:rPr>
          <w:i/>
          <w:iCs/>
        </w:rPr>
        <w:t>Shurtleff v. City of Boston</w:t>
      </w:r>
      <w:r>
        <w:t xml:space="preserve">, 142 S. Ct. 1583 (2022); and </w:t>
      </w:r>
      <w:r>
        <w:rPr>
          <w:i/>
          <w:iCs/>
        </w:rPr>
        <w:t xml:space="preserve">Kennedy </w:t>
      </w:r>
      <w:r>
        <w:rPr>
          <w:rFonts w:eastAsiaTheme="minorEastAsia" w:cstheme="minorBidi"/>
          <w:bCs/>
          <w:i/>
          <w:iCs/>
          <w:noProof/>
          <w:szCs w:val="28"/>
        </w:rPr>
        <w:t>v. Bremerton School District</w:t>
      </w:r>
      <w:r>
        <w:rPr>
          <w:rFonts w:eastAsiaTheme="minorEastAsia" w:cstheme="minorBidi"/>
          <w:bCs/>
          <w:noProof/>
          <w:szCs w:val="28"/>
        </w:rPr>
        <w:t xml:space="preserve">, 142 S. Ct. 2407 (2022). Those two decisions </w:t>
      </w:r>
      <w:r>
        <w:t xml:space="preserve">underscore what the Court has reiterated many times in recent years: (1) “a government does not violate the Establishment Clause merely because it treats religious persons, organizations, and speech equally with secular persons, organizations, and speech in public programs, benefits, facilities, and the like”; and (2) “a government </w:t>
      </w:r>
      <w:r>
        <w:rPr>
          <w:i/>
          <w:iCs/>
        </w:rPr>
        <w:t>violates</w:t>
      </w:r>
      <w:r>
        <w:t xml:space="preserve"> the Constitution when . . . it </w:t>
      </w:r>
      <w:r>
        <w:rPr>
          <w:i/>
          <w:iCs/>
        </w:rPr>
        <w:t xml:space="preserve">excludes </w:t>
      </w:r>
      <w:r>
        <w:t xml:space="preserve">religious persons, organizations, or speech because of religion from public programs, benefits and the like.” </w:t>
      </w:r>
      <w:r>
        <w:rPr>
          <w:i/>
          <w:iCs/>
        </w:rPr>
        <w:t>Shurtleff</w:t>
      </w:r>
      <w:r>
        <w:t xml:space="preserve">, 142 S. Ct. at 1594 (Kavanaugh, J., concurring) (citing </w:t>
      </w:r>
      <w:r>
        <w:rPr>
          <w:i/>
          <w:iCs/>
        </w:rPr>
        <w:t>Zelman v. Simmons-Harris</w:t>
      </w:r>
      <w:r>
        <w:t xml:space="preserve">, 536 U.S. 639 (2002); </w:t>
      </w:r>
      <w:r>
        <w:rPr>
          <w:i/>
          <w:iCs/>
        </w:rPr>
        <w:t xml:space="preserve">Espinoza v. Montana </w:t>
      </w:r>
      <w:proofErr w:type="spellStart"/>
      <w:r>
        <w:rPr>
          <w:i/>
          <w:iCs/>
        </w:rPr>
        <w:t>Dep’t</w:t>
      </w:r>
      <w:proofErr w:type="spellEnd"/>
      <w:r>
        <w:rPr>
          <w:i/>
          <w:iCs/>
        </w:rPr>
        <w:t xml:space="preserve"> of Rev.</w:t>
      </w:r>
      <w:r>
        <w:t xml:space="preserve">, 140 S. Ct. 2246 (2020); </w:t>
      </w:r>
      <w:r>
        <w:rPr>
          <w:i/>
          <w:iCs/>
        </w:rPr>
        <w:t>Good News Club v. Milford Cent. Sch.</w:t>
      </w:r>
      <w:r>
        <w:t xml:space="preserve">, 533 U.S. 98 (2001); </w:t>
      </w:r>
      <w:r>
        <w:rPr>
          <w:i/>
          <w:iCs/>
        </w:rPr>
        <w:t xml:space="preserve">McDaniel v. </w:t>
      </w:r>
      <w:proofErr w:type="spellStart"/>
      <w:r>
        <w:rPr>
          <w:i/>
          <w:iCs/>
        </w:rPr>
        <w:t>Paty</w:t>
      </w:r>
      <w:proofErr w:type="spellEnd"/>
      <w:r>
        <w:t xml:space="preserve">, 435 U.S. (1978)) </w:t>
      </w:r>
      <w:r>
        <w:lastRenderedPageBreak/>
        <w:t xml:space="preserve">(emphasis in original). Religious persons, organizations, and speech may not be treated as “second-class.” </w:t>
      </w:r>
      <w:r>
        <w:rPr>
          <w:i/>
          <w:iCs/>
        </w:rPr>
        <w:t>Id.</w:t>
      </w:r>
      <w:r>
        <w:t xml:space="preserve"> at 1595. </w:t>
      </w:r>
      <w:bookmarkEnd w:id="29"/>
      <w:bookmarkEnd w:id="30"/>
    </w:p>
    <w:p w14:paraId="2EEA0862" w14:textId="77777777" w:rsidR="005A660E" w:rsidRDefault="00831C7D">
      <w:pPr>
        <w:tabs>
          <w:tab w:val="clear" w:pos="475"/>
          <w:tab w:val="clear" w:pos="950"/>
          <w:tab w:val="clear" w:pos="1440"/>
          <w:tab w:val="left" w:pos="360"/>
        </w:tabs>
        <w:autoSpaceDE/>
        <w:autoSpaceDN/>
        <w:adjustRightInd/>
        <w:jc w:val="both"/>
      </w:pPr>
      <w:r>
        <w:tab/>
        <w:t xml:space="preserve">Yet that is what the </w:t>
      </w:r>
      <w:r>
        <w:rPr>
          <w:szCs w:val="28"/>
        </w:rPr>
        <w:t xml:space="preserve">Florida High School Athletic Association (“FHSAA”) </w:t>
      </w:r>
      <w:r>
        <w:t xml:space="preserve">did here. Despite </w:t>
      </w:r>
      <w:r>
        <w:rPr>
          <w:szCs w:val="28"/>
        </w:rPr>
        <w:t xml:space="preserve">Cambridge Christian School’s </w:t>
      </w:r>
      <w:r>
        <w:t xml:space="preserve">sincerely held belief and standing practice of praying before games, and despite the agreement of the two participating schools, the FHSAA denied the request. FHSAA operated under the mistaken belief that, as a state actor, it was required to discriminate against religious speech. Appellant Br. at 41. As the district court noted, the FHSAA made its </w:t>
      </w:r>
      <w:r>
        <w:rPr>
          <w:szCs w:val="28"/>
        </w:rPr>
        <w:t xml:space="preserve">public-address (“PA”) </w:t>
      </w:r>
      <w:r>
        <w:t xml:space="preserve">system available for a broad array of messages, including paid private sponsor messages, but refused to let two religious schools use that same PA system for religious speech. </w:t>
      </w:r>
      <w:r>
        <w:rPr>
          <w:i/>
          <w:iCs/>
        </w:rPr>
        <w:t>Cambridge Christian School, Inc. v. Florida High School Athletic Association, Inc</w:t>
      </w:r>
      <w:r>
        <w:t xml:space="preserve">., 2022 WL 971778, at *3, *10 (M.D. Fla. Mar. 31, 2022). </w:t>
      </w:r>
    </w:p>
    <w:p w14:paraId="6350624E" w14:textId="64D8D151" w:rsidR="005A660E" w:rsidRDefault="00831C7D">
      <w:pPr>
        <w:tabs>
          <w:tab w:val="clear" w:pos="475"/>
          <w:tab w:val="clear" w:pos="950"/>
          <w:tab w:val="clear" w:pos="1440"/>
        </w:tabs>
        <w:autoSpaceDE/>
        <w:autoSpaceDN/>
        <w:adjustRightInd/>
        <w:ind w:firstLine="360"/>
        <w:jc w:val="both"/>
      </w:pPr>
      <w:r>
        <w:t>That is no different from the City of Boston’s wrongful refusal to let a Christian group fly a Christian flag at Boston City Hall, or the Bremerton School District’s instruction to Coach Kennedy</w:t>
      </w:r>
      <w:r w:rsidR="0033380F">
        <w:t xml:space="preserve"> not to spend his post-game free time in prayer. </w:t>
      </w:r>
      <w:r>
        <w:rPr>
          <w:i/>
          <w:iCs/>
        </w:rPr>
        <w:t>See Shurtleff</w:t>
      </w:r>
      <w:r>
        <w:t xml:space="preserve">, 142 S. Ct. at 1588; </w:t>
      </w:r>
      <w:r>
        <w:rPr>
          <w:i/>
          <w:iCs/>
        </w:rPr>
        <w:t>Kennedy</w:t>
      </w:r>
      <w:r>
        <w:t xml:space="preserve">, 142 S. Ct. at 2417. Just like the state actors in those cases, the FHSAA here violated the Free Speech and Exercise Clauses in the name of advancing an incorrect view of the Establishment Clause. This Court should reverse. </w:t>
      </w:r>
    </w:p>
    <w:p w14:paraId="1DD827D9" w14:textId="77777777" w:rsidR="005A660E" w:rsidRDefault="00831C7D">
      <w:pPr>
        <w:tabs>
          <w:tab w:val="clear" w:pos="475"/>
          <w:tab w:val="clear" w:pos="950"/>
          <w:tab w:val="clear" w:pos="1440"/>
        </w:tabs>
        <w:autoSpaceDE/>
        <w:autoSpaceDN/>
        <w:adjustRightInd/>
        <w:spacing w:line="240" w:lineRule="auto"/>
        <w:rPr>
          <w:b/>
          <w:bCs/>
          <w:smallCaps/>
          <w:spacing w:val="20"/>
          <w:sz w:val="30"/>
          <w:szCs w:val="30"/>
        </w:rPr>
      </w:pPr>
      <w:bookmarkStart w:id="41" w:name="_Toc95847581"/>
      <w:r>
        <w:rPr>
          <w:spacing w:val="20"/>
        </w:rPr>
        <w:br w:type="page"/>
      </w:r>
    </w:p>
    <w:p w14:paraId="087D7DB0" w14:textId="77777777" w:rsidR="005A660E" w:rsidRDefault="00831C7D">
      <w:pPr>
        <w:pStyle w:val="Heading1"/>
        <w:spacing w:line="560" w:lineRule="exact"/>
        <w:rPr>
          <w:spacing w:val="20"/>
        </w:rPr>
      </w:pPr>
      <w:bookmarkStart w:id="42" w:name="_Toc111015059"/>
      <w:r>
        <w:rPr>
          <w:spacing w:val="20"/>
        </w:rPr>
        <w:lastRenderedPageBreak/>
        <w:t>Argument</w:t>
      </w:r>
      <w:bookmarkEnd w:id="41"/>
      <w:bookmarkEnd w:id="42"/>
    </w:p>
    <w:p w14:paraId="514B71D9" w14:textId="77777777" w:rsidR="005A660E" w:rsidRDefault="00831C7D" w:rsidP="00831C7D">
      <w:pPr>
        <w:pStyle w:val="Heading2"/>
        <w:spacing w:before="240"/>
        <w:ind w:left="475" w:hanging="295"/>
        <w:contextualSpacing w:val="0"/>
      </w:pPr>
      <w:bookmarkStart w:id="43" w:name="_Toc111015060"/>
      <w:r>
        <w:t>The Supreme Court has repeatedly held that government may not discriminate against religious speech.</w:t>
      </w:r>
      <w:bookmarkEnd w:id="43"/>
    </w:p>
    <w:p w14:paraId="565B726A" w14:textId="77777777" w:rsidR="005A660E" w:rsidRDefault="00831C7D">
      <w:pPr>
        <w:tabs>
          <w:tab w:val="left" w:pos="5580"/>
        </w:tabs>
        <w:jc w:val="both"/>
      </w:pPr>
      <w:r>
        <w:tab/>
        <w:t xml:space="preserve">This case typifies a common mistake highlighted in two recent Supreme Court decisions: state actors wrongly believe that they can (or must) discriminate against religious speech. They cannot. When the FHSAA chose to open its PA system to a broad variety of messages, it took on a duty to treat religious messages the same as any other messages. To categorically ban prayer in that context violates the Free Exercise and Free Speech Clauses. </w:t>
      </w:r>
    </w:p>
    <w:p w14:paraId="0D412B85" w14:textId="77777777" w:rsidR="005A660E" w:rsidRDefault="00831C7D">
      <w:pPr>
        <w:tabs>
          <w:tab w:val="left" w:pos="5580"/>
        </w:tabs>
        <w:jc w:val="both"/>
      </w:pPr>
      <w:r>
        <w:tab/>
      </w:r>
      <w:r>
        <w:rPr>
          <w:b/>
          <w:bCs/>
        </w:rPr>
        <w:t>A.</w:t>
      </w:r>
      <w:r>
        <w:t xml:space="preserve"> Start with </w:t>
      </w:r>
      <w:r>
        <w:rPr>
          <w:i/>
          <w:iCs/>
        </w:rPr>
        <w:t>Shurtleff</w:t>
      </w:r>
      <w:r>
        <w:t xml:space="preserve">. As Justice Kavanaugh recently put it, that “dispute arose only because of a government official’s mistaken understanding of the Establishment Clause.” </w:t>
      </w:r>
      <w:r>
        <w:rPr>
          <w:i/>
          <w:iCs/>
        </w:rPr>
        <w:t>Shurtleff</w:t>
      </w:r>
      <w:r>
        <w:t xml:space="preserve">, 142 S. Ct. at 1594 (Kavanaugh, J., concurring). The City of Boston has erected three flagpoles outside its city hall. One flies the flag of the United States, and the second flies the flag of the commonwealth of Massachusetts. </w:t>
      </w:r>
      <w:r>
        <w:rPr>
          <w:i/>
          <w:iCs/>
        </w:rPr>
        <w:t>Id</w:t>
      </w:r>
      <w:r>
        <w:t xml:space="preserve">. at 1588 (majority op.). The third usually flies the flag of the City of Boston, but over the past two decades, the city has allowed private groups to fly their own flags on that third flagpole while holding events on the city hall’s plaza. </w:t>
      </w:r>
      <w:r>
        <w:rPr>
          <w:i/>
          <w:iCs/>
        </w:rPr>
        <w:t>Id</w:t>
      </w:r>
      <w:r>
        <w:t xml:space="preserve">. From the inception of its flag-raising program in 2005, the City of Boston permitted over “50 unique flags” to fly on the third flagpole outside of City Hall. </w:t>
      </w:r>
      <w:r>
        <w:rPr>
          <w:i/>
          <w:iCs/>
        </w:rPr>
        <w:t>Id</w:t>
      </w:r>
      <w:r>
        <w:t xml:space="preserve">. The messages on the flags varied widely—from the “Pride Flag raised annually to commemorate Boston Pride Week” to the “Metro Credit Union Flag” to celebrate a local community bank. </w:t>
      </w:r>
      <w:r>
        <w:rPr>
          <w:i/>
          <w:iCs/>
        </w:rPr>
        <w:t>Id.</w:t>
      </w:r>
      <w:r>
        <w:t xml:space="preserve"> at 1592. The city was happy to </w:t>
      </w:r>
      <w:r>
        <w:lastRenderedPageBreak/>
        <w:t xml:space="preserve">open that flagpole on a “come one, come all” basis—until a religious group called Camp Constitution showed up and asked to fly what it called a “Christian flag” during its event. </w:t>
      </w:r>
      <w:r>
        <w:rPr>
          <w:i/>
          <w:iCs/>
        </w:rPr>
        <w:t>Id</w:t>
      </w:r>
      <w:r>
        <w:t xml:space="preserve">. at 1588. Suddenly, the city changed its tune, and what had been a government resource open to all quickly became off-limits to a pro-Christian message. </w:t>
      </w:r>
      <w:r>
        <w:rPr>
          <w:i/>
          <w:iCs/>
        </w:rPr>
        <w:t>Id</w:t>
      </w:r>
      <w:r>
        <w:t xml:space="preserve">. </w:t>
      </w:r>
    </w:p>
    <w:p w14:paraId="182F4D15" w14:textId="77777777" w:rsidR="005A660E" w:rsidRDefault="00831C7D">
      <w:pPr>
        <w:tabs>
          <w:tab w:val="left" w:pos="5580"/>
        </w:tabs>
        <w:jc w:val="both"/>
      </w:pPr>
      <w:r>
        <w:tab/>
        <w:t xml:space="preserve">The Supreme Court unanimously agreed that the city’s conduct violated the First Amendment. While the Justices didn’t fully agree with one another on the reasoning, they all reached the same result: a government cannot open a resource to anyone who wants it year after year, only to close off that resource to religious speakers. </w:t>
      </w:r>
      <w:r>
        <w:rPr>
          <w:i/>
          <w:iCs/>
        </w:rPr>
        <w:t>Id</w:t>
      </w:r>
      <w:r>
        <w:t xml:space="preserve">. at 1593. Or, as Justice Kavanaugh’s concurrence put it, the Constitution does not allow the government to “exclude[] . . . [religion] because of religion.” </w:t>
      </w:r>
      <w:r>
        <w:rPr>
          <w:i/>
          <w:iCs/>
        </w:rPr>
        <w:t>Id</w:t>
      </w:r>
      <w:r>
        <w:t>. at 1594.</w:t>
      </w:r>
    </w:p>
    <w:p w14:paraId="69ACE835" w14:textId="77777777" w:rsidR="005A660E" w:rsidRDefault="00831C7D">
      <w:pPr>
        <w:tabs>
          <w:tab w:val="left" w:pos="5580"/>
        </w:tabs>
        <w:jc w:val="both"/>
      </w:pPr>
      <w:r>
        <w:tab/>
        <w:t xml:space="preserve">That result is hardly a surprise. It echoes countless decisions stretching back decades faulting governments for disfavoring religious speech. Take, for example, </w:t>
      </w:r>
      <w:r>
        <w:rPr>
          <w:i/>
          <w:iCs/>
        </w:rPr>
        <w:t>Rosenberger v. Rector &amp; Visitors of the University of Virginia</w:t>
      </w:r>
      <w:r>
        <w:t xml:space="preserve">, 515 U.S. 819 (1995). There, a public university denied funding to a student organization publishing a newspaper with a Christian editorial viewpoint while offering the same funding to secular publications. </w:t>
      </w:r>
      <w:r>
        <w:rPr>
          <w:i/>
          <w:iCs/>
        </w:rPr>
        <w:t>Id</w:t>
      </w:r>
      <w:r>
        <w:t xml:space="preserve">. at 824-27. The Court held that approach violated the First Amendment. </w:t>
      </w:r>
      <w:r>
        <w:rPr>
          <w:i/>
          <w:iCs/>
        </w:rPr>
        <w:t>Id</w:t>
      </w:r>
      <w:r>
        <w:t xml:space="preserve"> at 837. Or consider </w:t>
      </w:r>
      <w:r>
        <w:rPr>
          <w:i/>
          <w:iCs/>
        </w:rPr>
        <w:t>Good News Club v. Milford Central School</w:t>
      </w:r>
      <w:r>
        <w:t xml:space="preserve">, 533 U.S. 98 (2001), decided six years after </w:t>
      </w:r>
      <w:r>
        <w:rPr>
          <w:i/>
          <w:iCs/>
        </w:rPr>
        <w:t>Rosenberger</w:t>
      </w:r>
      <w:r>
        <w:t xml:space="preserve">. There, a public school denied an after-school Christian club access to the school’s facilities solely because the club was </w:t>
      </w:r>
      <w:r>
        <w:lastRenderedPageBreak/>
        <w:t xml:space="preserve">religious in nature. </w:t>
      </w:r>
      <w:r>
        <w:rPr>
          <w:i/>
          <w:iCs/>
        </w:rPr>
        <w:t>Id</w:t>
      </w:r>
      <w:r>
        <w:t xml:space="preserve">. at 103-04. Once again, the Court ruled against the state actor and chided it for disfavoring religion. </w:t>
      </w:r>
      <w:r>
        <w:rPr>
          <w:i/>
          <w:iCs/>
        </w:rPr>
        <w:t>Id</w:t>
      </w:r>
      <w:r>
        <w:t xml:space="preserve">. at 120. </w:t>
      </w:r>
    </w:p>
    <w:p w14:paraId="29552155" w14:textId="77777777" w:rsidR="005A660E" w:rsidRDefault="00831C7D">
      <w:pPr>
        <w:tabs>
          <w:tab w:val="left" w:pos="5580"/>
        </w:tabs>
        <w:jc w:val="both"/>
      </w:pPr>
      <w:r>
        <w:tab/>
        <w:t xml:space="preserve">Yet this error keeps recurring. In </w:t>
      </w:r>
      <w:r>
        <w:rPr>
          <w:i/>
          <w:iCs/>
        </w:rPr>
        <w:t>Trinity Lutheran Church of Columbia, Inc. v. Comer</w:t>
      </w:r>
      <w:r>
        <w:t xml:space="preserve">, 137 S. Ct. 2012 (2017), the Court again ruled against a state that denied a church-owned playground a grant for rubber playground surfaces because of its policy of denying grants to religiously affiliated applicants. And just this year, in </w:t>
      </w:r>
      <w:r>
        <w:rPr>
          <w:i/>
          <w:iCs/>
        </w:rPr>
        <w:t>Carson v. Makin</w:t>
      </w:r>
      <w:r>
        <w:t xml:space="preserve">, 142 S. Ct. 1987 (2022), the Court ruled against a state’s tuition assistance program that denied benefits to religious schools and only religious schools, just because they were religious. </w:t>
      </w:r>
    </w:p>
    <w:p w14:paraId="41EC78D2" w14:textId="77777777" w:rsidR="005A660E" w:rsidRDefault="00831C7D">
      <w:pPr>
        <w:tabs>
          <w:tab w:val="left" w:pos="5580"/>
        </w:tabs>
        <w:jc w:val="both"/>
      </w:pPr>
      <w:r>
        <w:tab/>
        <w:t>There is no mistaking the clear import of all these cases: the government cannot make a resource available to everyone except religious groups.</w:t>
      </w:r>
    </w:p>
    <w:p w14:paraId="27E3D9F2" w14:textId="77777777" w:rsidR="005A660E" w:rsidRDefault="00831C7D">
      <w:pPr>
        <w:tabs>
          <w:tab w:val="left" w:pos="5580"/>
        </w:tabs>
        <w:jc w:val="both"/>
      </w:pPr>
      <w:r>
        <w:tab/>
      </w:r>
      <w:r>
        <w:rPr>
          <w:b/>
          <w:bCs/>
        </w:rPr>
        <w:t>B.</w:t>
      </w:r>
      <w:r>
        <w:t xml:space="preserve"> </w:t>
      </w:r>
      <w:r>
        <w:rPr>
          <w:i/>
          <w:iCs/>
        </w:rPr>
        <w:t>Kennedy</w:t>
      </w:r>
      <w:r>
        <w:t xml:space="preserve"> is yet another illustration of the equal treatment required for religion in public spaces. And, like this case, it arises in the context of school sporting events. </w:t>
      </w:r>
    </w:p>
    <w:p w14:paraId="6B2CE198" w14:textId="77777777" w:rsidR="005A660E" w:rsidRDefault="00831C7D">
      <w:pPr>
        <w:tabs>
          <w:tab w:val="left" w:pos="5580"/>
        </w:tabs>
        <w:jc w:val="both"/>
        <w:rPr>
          <w:rFonts w:eastAsiaTheme="minorEastAsia" w:cstheme="minorBidi"/>
          <w:bCs/>
          <w:noProof/>
          <w:szCs w:val="28"/>
        </w:rPr>
      </w:pPr>
      <w:r>
        <w:tab/>
        <w:t xml:space="preserve">Coach Kennedy was a public high school football coach who had a practice of </w:t>
      </w:r>
      <w:r>
        <w:rPr>
          <w:rFonts w:eastAsiaTheme="minorEastAsia" w:cstheme="minorBidi"/>
          <w:bCs/>
          <w:noProof/>
          <w:szCs w:val="28"/>
        </w:rPr>
        <w:t xml:space="preserve">kneeling at midfield after games to pray. </w:t>
      </w:r>
      <w:r>
        <w:rPr>
          <w:rFonts w:eastAsiaTheme="minorEastAsia" w:cstheme="minorBidi"/>
          <w:bCs/>
          <w:i/>
          <w:iCs/>
          <w:noProof/>
          <w:szCs w:val="28"/>
        </w:rPr>
        <w:t>Kennedy</w:t>
      </w:r>
      <w:r>
        <w:rPr>
          <w:rFonts w:eastAsiaTheme="minorEastAsia" w:cstheme="minorBidi"/>
          <w:bCs/>
          <w:noProof/>
          <w:szCs w:val="28"/>
        </w:rPr>
        <w:t xml:space="preserve">, 142 S. Ct. at 2415. He prayed to “express gratitude for what the players had accomplished and for the opportunity to be part of their lives through the game of football.” </w:t>
      </w:r>
      <w:r>
        <w:rPr>
          <w:rFonts w:eastAsiaTheme="minorEastAsia" w:cstheme="minorBidi"/>
          <w:bCs/>
          <w:i/>
          <w:iCs/>
          <w:noProof/>
          <w:szCs w:val="28"/>
        </w:rPr>
        <w:t>Id.</w:t>
      </w:r>
      <w:r>
        <w:rPr>
          <w:rFonts w:eastAsiaTheme="minorEastAsia" w:cstheme="minorBidi"/>
          <w:bCs/>
          <w:noProof/>
          <w:szCs w:val="28"/>
        </w:rPr>
        <w:t xml:space="preserve"> at 2416. At times, players from his team or the opposing team, or members of the community would join him; other times he prayed alone. </w:t>
      </w:r>
      <w:r>
        <w:rPr>
          <w:rFonts w:eastAsiaTheme="minorEastAsia" w:cstheme="minorBidi"/>
          <w:bCs/>
          <w:i/>
          <w:iCs/>
          <w:noProof/>
          <w:szCs w:val="28"/>
        </w:rPr>
        <w:t>Id.</w:t>
      </w:r>
      <w:r>
        <w:rPr>
          <w:rFonts w:eastAsiaTheme="minorEastAsia" w:cstheme="minorBidi"/>
          <w:bCs/>
          <w:noProof/>
          <w:szCs w:val="28"/>
        </w:rPr>
        <w:t xml:space="preserve"> When the school learned of this practice, it reprimanded Coach Kennedy and instructed that “any religious activity on Mr. Kennedy’s part must be ‘nondemonstrative (i.e., no outwardly discernable as religious </w:t>
      </w:r>
      <w:r>
        <w:rPr>
          <w:rFonts w:eastAsiaTheme="minorEastAsia" w:cstheme="minorBidi"/>
          <w:bCs/>
          <w:noProof/>
          <w:szCs w:val="28"/>
        </w:rPr>
        <w:lastRenderedPageBreak/>
        <w:t xml:space="preserve">activity).’” </w:t>
      </w:r>
      <w:r>
        <w:rPr>
          <w:rFonts w:eastAsiaTheme="minorEastAsia" w:cstheme="minorBidi"/>
          <w:bCs/>
          <w:i/>
          <w:iCs/>
          <w:noProof/>
          <w:szCs w:val="28"/>
        </w:rPr>
        <w:t>Id.</w:t>
      </w:r>
      <w:r>
        <w:rPr>
          <w:rFonts w:eastAsiaTheme="minorEastAsia" w:cstheme="minorBidi"/>
          <w:bCs/>
          <w:noProof/>
          <w:szCs w:val="28"/>
        </w:rPr>
        <w:t xml:space="preserve"> at 2417. This, the school reasoned, was because of “direct tension between the Establishment Clause and a school employee’s right to freely exercise his religion.” </w:t>
      </w:r>
      <w:r>
        <w:rPr>
          <w:rFonts w:eastAsiaTheme="minorEastAsia" w:cstheme="minorBidi"/>
          <w:bCs/>
          <w:i/>
          <w:iCs/>
          <w:noProof/>
          <w:szCs w:val="28"/>
        </w:rPr>
        <w:t>Id.</w:t>
      </w:r>
      <w:r>
        <w:rPr>
          <w:rFonts w:eastAsiaTheme="minorEastAsia" w:cstheme="minorBidi"/>
          <w:bCs/>
          <w:noProof/>
          <w:szCs w:val="28"/>
        </w:rPr>
        <w:t xml:space="preserve"> (cleaned up). </w:t>
      </w:r>
    </w:p>
    <w:p w14:paraId="33D76567" w14:textId="77777777" w:rsidR="005A660E" w:rsidRDefault="00831C7D">
      <w:pPr>
        <w:tabs>
          <w:tab w:val="left" w:pos="5580"/>
        </w:tabs>
        <w:jc w:val="both"/>
        <w:rPr>
          <w:rFonts w:eastAsiaTheme="minorEastAsia" w:cstheme="minorBidi"/>
          <w:bCs/>
          <w:noProof/>
          <w:szCs w:val="28"/>
        </w:rPr>
      </w:pPr>
      <w:r>
        <w:rPr>
          <w:rFonts w:eastAsiaTheme="minorEastAsia" w:cstheme="minorBidi"/>
          <w:bCs/>
          <w:noProof/>
          <w:szCs w:val="28"/>
        </w:rPr>
        <w:tab/>
        <w:t xml:space="preserve">Meanwhile, the school allowed coaches and other school officials to engage in other secular activities, such as “visit[ing] with friends or tak[ing] personal phone calls” after football games, and did not apply “any sort of postgame supervisory requirement.” </w:t>
      </w:r>
      <w:r>
        <w:rPr>
          <w:rFonts w:eastAsiaTheme="minorEastAsia" w:cstheme="minorBidi"/>
          <w:bCs/>
          <w:i/>
          <w:iCs/>
          <w:noProof/>
          <w:szCs w:val="28"/>
        </w:rPr>
        <w:t>Id.</w:t>
      </w:r>
      <w:r>
        <w:rPr>
          <w:rFonts w:eastAsiaTheme="minorEastAsia" w:cstheme="minorBidi"/>
          <w:bCs/>
          <w:noProof/>
          <w:szCs w:val="28"/>
        </w:rPr>
        <w:t xml:space="preserve"> at 2423. Only Coach Kennedy’s religious activity was “single[d] out . . . for special disfavor.” </w:t>
      </w:r>
      <w:r>
        <w:rPr>
          <w:rFonts w:eastAsiaTheme="minorEastAsia" w:cstheme="minorBidi"/>
          <w:bCs/>
          <w:i/>
          <w:iCs/>
          <w:noProof/>
          <w:szCs w:val="28"/>
        </w:rPr>
        <w:t>Id.</w:t>
      </w:r>
      <w:r>
        <w:rPr>
          <w:rFonts w:eastAsiaTheme="minorEastAsia" w:cstheme="minorBidi"/>
          <w:bCs/>
          <w:noProof/>
          <w:szCs w:val="28"/>
        </w:rPr>
        <w:t xml:space="preserve"> at 2416. </w:t>
      </w:r>
    </w:p>
    <w:p w14:paraId="6959EA85" w14:textId="77777777" w:rsidR="005A660E" w:rsidRDefault="00831C7D">
      <w:pPr>
        <w:tabs>
          <w:tab w:val="left" w:pos="5580"/>
        </w:tabs>
        <w:ind w:firstLine="475"/>
        <w:jc w:val="both"/>
        <w:rPr>
          <w:rFonts w:eastAsiaTheme="minorEastAsia" w:cstheme="minorBidi"/>
          <w:bCs/>
          <w:noProof/>
          <w:szCs w:val="28"/>
        </w:rPr>
      </w:pPr>
      <w:r>
        <w:rPr>
          <w:rFonts w:eastAsiaTheme="minorEastAsia" w:cstheme="minorBidi"/>
          <w:bCs/>
          <w:noProof/>
          <w:szCs w:val="28"/>
        </w:rPr>
        <w:t xml:space="preserve">So the Court provided corrective instruction: “An Establishment Clause violation does not automatically follow whenever a public school or other government entity fails to censor private religious speech. Nor does the Clause compel the government to purge from the public sphere anything an objective observer could reasonably infer endorses or partakes of the religious. ” </w:t>
      </w:r>
      <w:r>
        <w:rPr>
          <w:rFonts w:eastAsiaTheme="minorEastAsia" w:cstheme="minorBidi"/>
          <w:bCs/>
          <w:i/>
          <w:iCs/>
          <w:noProof/>
          <w:szCs w:val="28"/>
        </w:rPr>
        <w:t>Id.</w:t>
      </w:r>
      <w:r>
        <w:rPr>
          <w:rFonts w:eastAsiaTheme="minorEastAsia" w:cstheme="minorBidi"/>
          <w:bCs/>
          <w:noProof/>
          <w:szCs w:val="28"/>
        </w:rPr>
        <w:t xml:space="preserve"> at 2427 (cleaned up) (citations omitted).</w:t>
      </w:r>
    </w:p>
    <w:p w14:paraId="3986E2CF" w14:textId="77777777" w:rsidR="005A660E" w:rsidRDefault="00831C7D">
      <w:pPr>
        <w:tabs>
          <w:tab w:val="left" w:pos="5580"/>
        </w:tabs>
        <w:ind w:firstLine="475"/>
        <w:jc w:val="both"/>
      </w:pPr>
      <w:r>
        <w:rPr>
          <w:rFonts w:eastAsiaTheme="minorEastAsia" w:cstheme="minorBidi"/>
          <w:bCs/>
          <w:noProof/>
          <w:szCs w:val="28"/>
        </w:rPr>
        <w:t xml:space="preserve">The Court distinguished </w:t>
      </w:r>
      <w:r>
        <w:rPr>
          <w:rFonts w:eastAsiaTheme="minorEastAsia" w:cstheme="minorBidi"/>
          <w:bCs/>
          <w:i/>
          <w:iCs/>
          <w:noProof/>
          <w:szCs w:val="28"/>
        </w:rPr>
        <w:t>Kennedy</w:t>
      </w:r>
      <w:r>
        <w:rPr>
          <w:rFonts w:eastAsiaTheme="minorEastAsia" w:cstheme="minorBidi"/>
          <w:bCs/>
          <w:noProof/>
          <w:szCs w:val="28"/>
        </w:rPr>
        <w:t xml:space="preserve"> from previous cases where prayer in a public school was been deemed “problematically coercive.” </w:t>
      </w:r>
      <w:r>
        <w:rPr>
          <w:rFonts w:eastAsiaTheme="minorEastAsia" w:cstheme="minorBidi"/>
          <w:bCs/>
          <w:i/>
          <w:iCs/>
          <w:noProof/>
          <w:szCs w:val="28"/>
        </w:rPr>
        <w:t>Id.</w:t>
      </w:r>
      <w:r>
        <w:rPr>
          <w:rFonts w:eastAsiaTheme="minorEastAsia" w:cstheme="minorBidi"/>
          <w:bCs/>
          <w:noProof/>
          <w:szCs w:val="28"/>
        </w:rPr>
        <w:t xml:space="preserve"> at 2431. In </w:t>
      </w:r>
      <w:r>
        <w:rPr>
          <w:rFonts w:eastAsiaTheme="minorEastAsia" w:cstheme="minorBidi"/>
          <w:bCs/>
          <w:i/>
          <w:iCs/>
          <w:noProof/>
          <w:szCs w:val="28"/>
        </w:rPr>
        <w:t>Lee v. Weisman</w:t>
      </w:r>
      <w:r>
        <w:rPr>
          <w:rFonts w:eastAsiaTheme="minorEastAsia" w:cstheme="minorBidi"/>
          <w:bCs/>
          <w:noProof/>
          <w:szCs w:val="28"/>
        </w:rPr>
        <w:t xml:space="preserve">, 505 U.S. 577 (1992), the Court determined that the school had “in every practical sense compelled attendance and participation in a religious exercise.” </w:t>
      </w:r>
      <w:r>
        <w:rPr>
          <w:rFonts w:eastAsiaTheme="minorEastAsia" w:cstheme="minorBidi"/>
          <w:bCs/>
          <w:i/>
          <w:iCs/>
          <w:noProof/>
          <w:szCs w:val="28"/>
        </w:rPr>
        <w:t>Kennedy</w:t>
      </w:r>
      <w:r>
        <w:rPr>
          <w:rFonts w:eastAsiaTheme="minorEastAsia" w:cstheme="minorBidi"/>
          <w:bCs/>
          <w:noProof/>
          <w:szCs w:val="28"/>
        </w:rPr>
        <w:t xml:space="preserve">, 142 S. Ct. at 2431 (internal quotation marks and citation omitted). And in </w:t>
      </w:r>
      <w:r>
        <w:rPr>
          <w:rFonts w:eastAsiaTheme="minorEastAsia" w:cstheme="minorBidi"/>
          <w:bCs/>
          <w:i/>
          <w:iCs/>
          <w:noProof/>
          <w:szCs w:val="28"/>
        </w:rPr>
        <w:t>Santa Fe Independent School District v. Doe</w:t>
      </w:r>
      <w:r>
        <w:rPr>
          <w:rFonts w:eastAsiaTheme="minorEastAsia" w:cstheme="minorBidi"/>
          <w:bCs/>
          <w:noProof/>
          <w:szCs w:val="28"/>
        </w:rPr>
        <w:t xml:space="preserve">, 530 U.S 290 (2000), the Court explained that a prayer over a PA system before a football game might be coercive to students like cheerleaders and members of the band who were required to attend games. </w:t>
      </w:r>
      <w:r>
        <w:rPr>
          <w:rFonts w:eastAsiaTheme="minorEastAsia" w:cstheme="minorBidi"/>
          <w:bCs/>
          <w:i/>
          <w:iCs/>
          <w:noProof/>
          <w:szCs w:val="28"/>
        </w:rPr>
        <w:t>Kennedy</w:t>
      </w:r>
      <w:r>
        <w:rPr>
          <w:rFonts w:eastAsiaTheme="minorEastAsia" w:cstheme="minorBidi"/>
          <w:bCs/>
          <w:noProof/>
          <w:szCs w:val="28"/>
        </w:rPr>
        <w:t xml:space="preserve">, 142 S. Ct. at 2431. </w:t>
      </w:r>
      <w:r>
        <w:rPr>
          <w:rFonts w:eastAsiaTheme="minorEastAsia" w:cstheme="minorBidi"/>
          <w:bCs/>
          <w:noProof/>
          <w:szCs w:val="28"/>
        </w:rPr>
        <w:lastRenderedPageBreak/>
        <w:t xml:space="preserve">But in </w:t>
      </w:r>
      <w:r>
        <w:rPr>
          <w:rFonts w:eastAsiaTheme="minorEastAsia" w:cstheme="minorBidi"/>
          <w:bCs/>
          <w:i/>
          <w:iCs/>
          <w:noProof/>
          <w:szCs w:val="28"/>
        </w:rPr>
        <w:t>Kennedy</w:t>
      </w:r>
      <w:r>
        <w:rPr>
          <w:rFonts w:eastAsiaTheme="minorEastAsia" w:cstheme="minorBidi"/>
          <w:bCs/>
          <w:noProof/>
          <w:szCs w:val="28"/>
        </w:rPr>
        <w:t xml:space="preserve">, the Court noted that any elements of coercion were absent. </w:t>
      </w:r>
      <w:r>
        <w:rPr>
          <w:rFonts w:eastAsiaTheme="minorEastAsia" w:cstheme="minorBidi"/>
          <w:bCs/>
          <w:i/>
          <w:iCs/>
          <w:noProof/>
          <w:szCs w:val="28"/>
        </w:rPr>
        <w:t>Id.</w:t>
      </w:r>
      <w:r>
        <w:rPr>
          <w:rFonts w:eastAsiaTheme="minorEastAsia" w:cstheme="minorBidi"/>
          <w:bCs/>
          <w:noProof/>
          <w:szCs w:val="28"/>
        </w:rPr>
        <w:t xml:space="preserve"> at 2432.</w:t>
      </w:r>
    </w:p>
    <w:p w14:paraId="06B7E7A9" w14:textId="77777777" w:rsidR="005A660E" w:rsidRDefault="00831C7D">
      <w:pPr>
        <w:tabs>
          <w:tab w:val="left" w:pos="5580"/>
        </w:tabs>
        <w:jc w:val="both"/>
        <w:rPr>
          <w:rFonts w:eastAsiaTheme="minorEastAsia" w:cstheme="minorBidi"/>
          <w:bCs/>
          <w:noProof/>
          <w:szCs w:val="28"/>
        </w:rPr>
      </w:pPr>
      <w:r>
        <w:tab/>
        <w:t xml:space="preserve">Taken together, </w:t>
      </w:r>
      <w:r>
        <w:rPr>
          <w:i/>
          <w:iCs/>
        </w:rPr>
        <w:t>Shurtleff</w:t>
      </w:r>
      <w:r>
        <w:t xml:space="preserve"> and </w:t>
      </w:r>
      <w:r>
        <w:rPr>
          <w:i/>
          <w:iCs/>
        </w:rPr>
        <w:t>Kennedy</w:t>
      </w:r>
      <w:r>
        <w:t xml:space="preserve"> both cautioned against an erroneous view of the Establishment Clause that “compel[s] the government to purge from the public sphere anything an objective observer could reasonably infer endorses or partakes of the religious.” </w:t>
      </w:r>
      <w:r>
        <w:rPr>
          <w:i/>
          <w:iCs/>
        </w:rPr>
        <w:t>Kennedy</w:t>
      </w:r>
      <w:r>
        <w:t xml:space="preserve">, 142 S. Ct. at 2427. This incorrect view has created a false “vise” between the Establishment Clause on the one side and the Free Exercise and Free Speech Clauses on the other. </w:t>
      </w:r>
      <w:r>
        <w:rPr>
          <w:i/>
          <w:iCs/>
        </w:rPr>
        <w:t>See id</w:t>
      </w:r>
      <w:r>
        <w:rPr>
          <w:rFonts w:eastAsiaTheme="minorEastAsia" w:cstheme="minorBidi"/>
          <w:bCs/>
          <w:noProof/>
          <w:szCs w:val="28"/>
        </w:rPr>
        <w:t xml:space="preserve">. And these mistaken government officals are operating under the incorrect belief that government neutrality towards religion requires suppression of religious speech and practice. But the Supreme Court has explained, over and over again, that this is not the case. Rather, </w:t>
      </w:r>
      <w:r>
        <w:rPr>
          <w:rFonts w:eastAsiaTheme="minorEastAsia" w:cstheme="minorBidi"/>
          <w:bCs/>
          <w:i/>
          <w:iCs/>
          <w:noProof/>
          <w:szCs w:val="28"/>
        </w:rPr>
        <w:t>Shurtleff</w:t>
      </w:r>
      <w:r>
        <w:rPr>
          <w:rFonts w:eastAsiaTheme="minorEastAsia" w:cstheme="minorBidi"/>
          <w:bCs/>
          <w:noProof/>
          <w:szCs w:val="28"/>
        </w:rPr>
        <w:t xml:space="preserve"> and </w:t>
      </w:r>
      <w:r>
        <w:rPr>
          <w:rFonts w:eastAsiaTheme="minorEastAsia" w:cstheme="minorBidi"/>
          <w:bCs/>
          <w:i/>
          <w:iCs/>
          <w:noProof/>
          <w:szCs w:val="28"/>
        </w:rPr>
        <w:t xml:space="preserve">Kennedy </w:t>
      </w:r>
      <w:r>
        <w:t xml:space="preserve">show that the Establishment, Free Exercise, and Free Speech clauses have “complementary purposes, not warring ones.” </w:t>
      </w:r>
      <w:r>
        <w:rPr>
          <w:rFonts w:eastAsiaTheme="minorEastAsia" w:cstheme="minorBidi"/>
          <w:bCs/>
          <w:i/>
          <w:iCs/>
          <w:noProof/>
          <w:szCs w:val="28"/>
        </w:rPr>
        <w:t>Kennedy</w:t>
      </w:r>
      <w:r>
        <w:rPr>
          <w:rFonts w:eastAsiaTheme="minorEastAsia" w:cstheme="minorBidi"/>
          <w:bCs/>
          <w:noProof/>
          <w:szCs w:val="28"/>
        </w:rPr>
        <w:t xml:space="preserve">, 142 S. Ct. at 2426 (internal quotation marks and citation omitted). </w:t>
      </w:r>
    </w:p>
    <w:p w14:paraId="583EE44F" w14:textId="77777777" w:rsidR="005A660E" w:rsidRDefault="00831C7D" w:rsidP="00831C7D">
      <w:pPr>
        <w:pStyle w:val="Heading2"/>
        <w:spacing w:before="240"/>
        <w:ind w:left="475" w:hanging="205"/>
        <w:contextualSpacing w:val="0"/>
        <w:rPr>
          <w:i/>
          <w:iCs/>
        </w:rPr>
      </w:pPr>
      <w:bookmarkStart w:id="44" w:name="_Toc111015061"/>
      <w:r>
        <w:rPr>
          <w:rFonts w:eastAsiaTheme="minorEastAsia"/>
          <w:noProof/>
        </w:rPr>
        <w:t>This case demonstrates the same error corrected in previous Supreme Court cases.</w:t>
      </w:r>
      <w:bookmarkEnd w:id="44"/>
    </w:p>
    <w:p w14:paraId="7FC98117" w14:textId="77777777" w:rsidR="005A660E" w:rsidRDefault="00831C7D">
      <w:pPr>
        <w:tabs>
          <w:tab w:val="left" w:pos="5580"/>
        </w:tabs>
        <w:jc w:val="both"/>
      </w:pPr>
      <w:r>
        <w:tab/>
      </w:r>
      <w:r>
        <w:rPr>
          <w:rFonts w:eastAsiaTheme="minorEastAsia" w:cstheme="minorBidi"/>
          <w:bCs/>
          <w:noProof/>
          <w:szCs w:val="28"/>
        </w:rPr>
        <w:t xml:space="preserve">This case matches the patterns demonstrated in </w:t>
      </w:r>
      <w:r>
        <w:rPr>
          <w:rFonts w:eastAsiaTheme="minorEastAsia" w:cstheme="minorBidi"/>
          <w:bCs/>
          <w:i/>
          <w:iCs/>
          <w:noProof/>
          <w:szCs w:val="28"/>
        </w:rPr>
        <w:t>Shurtleff</w:t>
      </w:r>
      <w:r>
        <w:rPr>
          <w:rFonts w:eastAsiaTheme="minorEastAsia" w:cstheme="minorBidi"/>
          <w:bCs/>
          <w:noProof/>
          <w:szCs w:val="28"/>
        </w:rPr>
        <w:t xml:space="preserve"> and </w:t>
      </w:r>
      <w:r>
        <w:rPr>
          <w:rFonts w:eastAsiaTheme="minorEastAsia" w:cstheme="minorBidi"/>
          <w:bCs/>
          <w:i/>
          <w:iCs/>
          <w:noProof/>
          <w:szCs w:val="28"/>
        </w:rPr>
        <w:t>Kennedy</w:t>
      </w:r>
      <w:r>
        <w:rPr>
          <w:rFonts w:eastAsiaTheme="minorEastAsia" w:cstheme="minorBidi"/>
          <w:bCs/>
          <w:noProof/>
          <w:szCs w:val="28"/>
        </w:rPr>
        <w:t xml:space="preserve">. As in </w:t>
      </w:r>
      <w:r>
        <w:rPr>
          <w:rFonts w:eastAsiaTheme="minorEastAsia" w:cstheme="minorBidi"/>
          <w:bCs/>
          <w:i/>
          <w:iCs/>
          <w:noProof/>
          <w:szCs w:val="28"/>
        </w:rPr>
        <w:t>Shurtleff</w:t>
      </w:r>
      <w:r>
        <w:rPr>
          <w:rFonts w:eastAsiaTheme="minorEastAsia" w:cstheme="minorBidi"/>
          <w:bCs/>
          <w:noProof/>
          <w:szCs w:val="28"/>
        </w:rPr>
        <w:t xml:space="preserve">, a religious viewpoint was denied equal acess to a public space. And religious speech and exercise was singled out for suppression, like in </w:t>
      </w:r>
      <w:r>
        <w:rPr>
          <w:rFonts w:eastAsiaTheme="minorEastAsia" w:cstheme="minorBidi"/>
          <w:bCs/>
          <w:i/>
          <w:iCs/>
          <w:noProof/>
          <w:szCs w:val="28"/>
        </w:rPr>
        <w:t>Kennedy</w:t>
      </w:r>
      <w:r>
        <w:rPr>
          <w:rFonts w:eastAsiaTheme="minorEastAsia" w:cstheme="minorBidi"/>
          <w:bCs/>
          <w:noProof/>
          <w:szCs w:val="28"/>
        </w:rPr>
        <w:t>.</w:t>
      </w:r>
      <w:r>
        <w:t xml:space="preserve"> In both cases, the Supreme Court vindicated religious speech and practice in public spaces.</w:t>
      </w:r>
    </w:p>
    <w:p w14:paraId="706A39C0" w14:textId="77777777" w:rsidR="005A660E" w:rsidRDefault="00831C7D">
      <w:pPr>
        <w:tabs>
          <w:tab w:val="left" w:pos="5580"/>
        </w:tabs>
        <w:jc w:val="both"/>
      </w:pPr>
      <w:r>
        <w:lastRenderedPageBreak/>
        <w:tab/>
        <w:t xml:space="preserve">Here, the FHSAA denied Cambridge Christian’s request to lead a communal prayer because the FHSAA believed it would violate the Establishment Clause to allow it. Appellant’s Br. at 41 (“[T]he government may not engage in activities that can be viewed as endorsing or sponsoring religion.”); </w:t>
      </w:r>
      <w:r>
        <w:rPr>
          <w:i/>
          <w:iCs/>
        </w:rPr>
        <w:t>see also Cambridge Christian School, Inc. v. Florida High School Athletic Association, Inc.</w:t>
      </w:r>
      <w:r>
        <w:t xml:space="preserve">, 2022 WL 971778, *12 (M.D. Fla. Mar. 31, 2022). The FHSAA was primarily concerned with “the religious nature of the message.” </w:t>
      </w:r>
      <w:r>
        <w:rPr>
          <w:i/>
          <w:iCs/>
        </w:rPr>
        <w:t>Cambridge Christian School, Inc. v. Florida High School Athletic Association, Inc.</w:t>
      </w:r>
      <w:r>
        <w:t xml:space="preserve">, 942 F.3d 1215, 1243 (11th Cir. 2019). </w:t>
      </w:r>
    </w:p>
    <w:p w14:paraId="36367841" w14:textId="77777777" w:rsidR="005A660E" w:rsidRDefault="00831C7D">
      <w:pPr>
        <w:tabs>
          <w:tab w:val="left" w:pos="5580"/>
        </w:tabs>
        <w:jc w:val="both"/>
      </w:pPr>
      <w:r>
        <w:tab/>
        <w:t>And while Cambridge Christian’s prayer request was denied, the FHSAA allowed paid sponsors to communicate messages over the PA system. Appellant Br. at 45 (PA system used for prayer at State Championship in 2012); 46 (PA system used for prayer at playoff games); 48-49 (PA system used by school officials for “unscreened and unscripted welcoming remarks); 50 (PA system used for promotional messages from private sponsors); 56 (PA system used for halftime music and announcements); s</w:t>
      </w:r>
      <w:r>
        <w:rPr>
          <w:i/>
          <w:iCs/>
        </w:rPr>
        <w:t>ee also Cambridge Christian School, Inc. v. Florida High School Athletic Association, Inc.</w:t>
      </w:r>
      <w:r>
        <w:t xml:space="preserve">, 2022 WL 971778, at *12. </w:t>
      </w:r>
      <w:r>
        <w:rPr>
          <w:rFonts w:eastAsiaTheme="minorEastAsia" w:cstheme="minorBidi"/>
          <w:bCs/>
          <w:noProof/>
          <w:szCs w:val="28"/>
        </w:rPr>
        <w:t xml:space="preserve">The FHSAA permitted these sponsor messages with little-to-no supervision or oversight. </w:t>
      </w:r>
      <w:r>
        <w:rPr>
          <w:rFonts w:eastAsiaTheme="minorEastAsia" w:cstheme="minorBidi"/>
          <w:bCs/>
          <w:i/>
          <w:iCs/>
          <w:noProof/>
          <w:szCs w:val="28"/>
        </w:rPr>
        <w:t>Id.</w:t>
      </w:r>
      <w:r>
        <w:rPr>
          <w:rFonts w:eastAsiaTheme="minorEastAsia" w:cstheme="minorBidi"/>
          <w:bCs/>
          <w:noProof/>
          <w:szCs w:val="28"/>
        </w:rPr>
        <w:t xml:space="preserve"> at *10. </w:t>
      </w:r>
      <w:r>
        <w:t xml:space="preserve">To put it bluntly, the secular, sponsor-related speech was allowed without issue, but the religious speech was not. </w:t>
      </w:r>
    </w:p>
    <w:p w14:paraId="62B0390B" w14:textId="77777777" w:rsidR="005A660E" w:rsidRDefault="00831C7D">
      <w:pPr>
        <w:tabs>
          <w:tab w:val="left" w:pos="5580"/>
        </w:tabs>
        <w:jc w:val="both"/>
      </w:pPr>
      <w:r>
        <w:tab/>
        <w:t xml:space="preserve">The district court (and the FHSAA official responsible for denying Cambridge Christian’s request) also likened this case to </w:t>
      </w:r>
      <w:r>
        <w:rPr>
          <w:i/>
          <w:iCs/>
        </w:rPr>
        <w:t xml:space="preserve">Santa Fe Independent </w:t>
      </w:r>
      <w:r>
        <w:rPr>
          <w:i/>
          <w:iCs/>
        </w:rPr>
        <w:lastRenderedPageBreak/>
        <w:t>School District</w:t>
      </w:r>
      <w:r>
        <w:t xml:space="preserve">. </w:t>
      </w:r>
      <w:r>
        <w:rPr>
          <w:i/>
          <w:iCs/>
        </w:rPr>
        <w:t xml:space="preserve">Id. </w:t>
      </w:r>
      <w:r>
        <w:t xml:space="preserve">at *1, *5 &amp; n.4. But the Supreme Court’s concerns over coercion are not present here where both schools agreed to and requested that a pre-game prayer be broadcast over the PA. In fact, when their request to pray over the PA system was denied, both teams gathered to pray at the middle of the field anyway. </w:t>
      </w:r>
      <w:r>
        <w:rPr>
          <w:i/>
          <w:iCs/>
        </w:rPr>
        <w:t>Id.</w:t>
      </w:r>
      <w:r>
        <w:t xml:space="preserve"> at *3.</w:t>
      </w:r>
    </w:p>
    <w:p w14:paraId="1D893643" w14:textId="77777777" w:rsidR="005A660E" w:rsidRDefault="00831C7D">
      <w:pPr>
        <w:jc w:val="both"/>
        <w:rPr>
          <w:rFonts w:eastAsiaTheme="minorEastAsia" w:cstheme="minorBidi"/>
          <w:bCs/>
          <w:noProof/>
          <w:szCs w:val="28"/>
        </w:rPr>
      </w:pPr>
      <w:r>
        <w:tab/>
        <w:t xml:space="preserve">“[I]n no world may a government entity’s concerns about phantom constitutional violations justify actual violations of individuals’ First Amendment rights.” </w:t>
      </w:r>
      <w:r>
        <w:rPr>
          <w:rFonts w:eastAsiaTheme="minorEastAsia" w:cstheme="minorBidi"/>
          <w:bCs/>
          <w:i/>
          <w:iCs/>
          <w:noProof/>
          <w:szCs w:val="28"/>
        </w:rPr>
        <w:t>Kennedy</w:t>
      </w:r>
      <w:r>
        <w:rPr>
          <w:rFonts w:eastAsiaTheme="minorEastAsia" w:cstheme="minorBidi"/>
          <w:bCs/>
          <w:noProof/>
          <w:szCs w:val="28"/>
        </w:rPr>
        <w:t>, 142 S.Ct. at 2432.</w:t>
      </w:r>
      <w:r>
        <w:t xml:space="preserve"> Not only does it not violate the Establishment Clause to give religion equal treatment, it violates the Constitution to exclude religion because of religion. </w:t>
      </w:r>
      <w:r>
        <w:rPr>
          <w:i/>
          <w:iCs/>
        </w:rPr>
        <w:t>Shurtleff</w:t>
      </w:r>
      <w:r>
        <w:t>, 142 S. Ct. at 1594 (Kavanaugh, J., concurring). The FHSAA violated these bedrock principles. Because the district court refused to correct the FHSAA’s unlawful conduct, this Court should reverse.</w:t>
      </w:r>
    </w:p>
    <w:p w14:paraId="33F364F5" w14:textId="77777777" w:rsidR="005A660E" w:rsidRDefault="00831C7D">
      <w:pPr>
        <w:tabs>
          <w:tab w:val="clear" w:pos="475"/>
          <w:tab w:val="clear" w:pos="950"/>
          <w:tab w:val="clear" w:pos="1440"/>
        </w:tabs>
        <w:autoSpaceDE/>
        <w:autoSpaceDN/>
        <w:adjustRightInd/>
        <w:spacing w:line="240" w:lineRule="auto"/>
        <w:rPr>
          <w:b/>
          <w:bCs/>
          <w:smallCaps/>
          <w:spacing w:val="20"/>
          <w:sz w:val="30"/>
          <w:szCs w:val="30"/>
        </w:rPr>
      </w:pPr>
      <w:bookmarkStart w:id="45" w:name="_Toc434487794"/>
      <w:bookmarkStart w:id="46" w:name="_Toc434488050"/>
      <w:bookmarkStart w:id="47" w:name="_Toc439673620"/>
      <w:bookmarkStart w:id="48" w:name="_Toc91166185"/>
      <w:bookmarkStart w:id="49" w:name="_Toc95847587"/>
      <w:r>
        <w:rPr>
          <w:spacing w:val="20"/>
        </w:rPr>
        <w:br w:type="page"/>
      </w:r>
    </w:p>
    <w:p w14:paraId="1B74E2D3" w14:textId="77777777" w:rsidR="005A660E" w:rsidRDefault="00831C7D">
      <w:pPr>
        <w:pStyle w:val="Heading1"/>
        <w:rPr>
          <w:spacing w:val="20"/>
        </w:rPr>
      </w:pPr>
      <w:bookmarkStart w:id="50" w:name="_Toc111015062"/>
      <w:r>
        <w:rPr>
          <w:spacing w:val="20"/>
        </w:rPr>
        <w:lastRenderedPageBreak/>
        <w:t>Conclusion</w:t>
      </w:r>
      <w:bookmarkEnd w:id="45"/>
      <w:bookmarkEnd w:id="46"/>
      <w:bookmarkEnd w:id="47"/>
      <w:bookmarkEnd w:id="48"/>
      <w:bookmarkEnd w:id="49"/>
      <w:bookmarkEnd w:id="50"/>
    </w:p>
    <w:p w14:paraId="6E2E67A1" w14:textId="77777777" w:rsidR="005A660E" w:rsidRDefault="00831C7D">
      <w:pPr>
        <w:pStyle w:val="BodyText"/>
        <w:spacing w:after="240"/>
      </w:pPr>
      <w:r>
        <w:t>The district court’s order granting Defendant’s motion for summary judgment and denying Plaintiff’s motion for summary judgment should be reversed.</w:t>
      </w:r>
      <w:bookmarkStart w:id="51" w:name="_BA_ScanRange_Skip_PostScanRange_7675B6_"/>
      <w:bookmarkEnd w:id="33"/>
      <w:bookmarkEnd w:id="34"/>
      <w:r>
        <w:t xml:space="preserve"> </w:t>
      </w:r>
    </w:p>
    <w:p w14:paraId="054A876C" w14:textId="77777777" w:rsidR="005A660E" w:rsidRDefault="005A660E">
      <w:pPr>
        <w:pStyle w:val="BodyText"/>
        <w:spacing w:after="240"/>
      </w:pPr>
    </w:p>
    <w:tbl>
      <w:tblPr>
        <w:tblW w:w="0" w:type="auto"/>
        <w:tblLook w:val="04A0" w:firstRow="1" w:lastRow="0" w:firstColumn="1" w:lastColumn="0" w:noHBand="0" w:noVBand="1"/>
      </w:tblPr>
      <w:tblGrid>
        <w:gridCol w:w="4230"/>
        <w:gridCol w:w="4410"/>
      </w:tblGrid>
      <w:tr w:rsidR="005A660E" w14:paraId="63CD3D93" w14:textId="77777777">
        <w:tc>
          <w:tcPr>
            <w:tcW w:w="4230" w:type="dxa"/>
          </w:tcPr>
          <w:p w14:paraId="1739FE7F"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Dated: August 15, 2022</w:t>
            </w:r>
          </w:p>
        </w:tc>
        <w:tc>
          <w:tcPr>
            <w:tcW w:w="4410" w:type="dxa"/>
          </w:tcPr>
          <w:p w14:paraId="26E513D2"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Respectfully submitted,</w:t>
            </w:r>
          </w:p>
          <w:p w14:paraId="3D363648" w14:textId="77777777" w:rsidR="005A660E" w:rsidRDefault="005A660E">
            <w:pPr>
              <w:tabs>
                <w:tab w:val="clear" w:pos="475"/>
                <w:tab w:val="clear" w:pos="950"/>
                <w:tab w:val="clear" w:pos="1440"/>
              </w:tabs>
              <w:autoSpaceDE/>
              <w:autoSpaceDN/>
              <w:adjustRightInd/>
              <w:spacing w:line="240" w:lineRule="auto"/>
              <w:jc w:val="both"/>
              <w:rPr>
                <w:szCs w:val="28"/>
              </w:rPr>
            </w:pPr>
          </w:p>
        </w:tc>
      </w:tr>
      <w:tr w:rsidR="005A660E" w14:paraId="3B55419E" w14:textId="77777777">
        <w:tc>
          <w:tcPr>
            <w:tcW w:w="4230" w:type="dxa"/>
          </w:tcPr>
          <w:p w14:paraId="53C00CF0" w14:textId="77777777" w:rsidR="005A660E" w:rsidRDefault="005A660E">
            <w:pPr>
              <w:tabs>
                <w:tab w:val="clear" w:pos="475"/>
                <w:tab w:val="clear" w:pos="950"/>
                <w:tab w:val="clear" w:pos="1440"/>
              </w:tabs>
              <w:autoSpaceDE/>
              <w:autoSpaceDN/>
              <w:adjustRightInd/>
              <w:spacing w:line="240" w:lineRule="auto"/>
              <w:jc w:val="both"/>
              <w:rPr>
                <w:szCs w:val="28"/>
              </w:rPr>
            </w:pPr>
          </w:p>
        </w:tc>
        <w:tc>
          <w:tcPr>
            <w:tcW w:w="4410" w:type="dxa"/>
          </w:tcPr>
          <w:p w14:paraId="09BD398B" w14:textId="77777777" w:rsidR="005A660E" w:rsidRDefault="00831C7D">
            <w:pPr>
              <w:tabs>
                <w:tab w:val="clear" w:pos="475"/>
                <w:tab w:val="clear" w:pos="950"/>
                <w:tab w:val="clear" w:pos="1440"/>
              </w:tabs>
              <w:autoSpaceDE/>
              <w:autoSpaceDN/>
              <w:adjustRightInd/>
              <w:spacing w:line="240" w:lineRule="auto"/>
              <w:jc w:val="both"/>
              <w:rPr>
                <w:i/>
                <w:iCs/>
                <w:szCs w:val="28"/>
                <w:u w:val="single"/>
              </w:rPr>
            </w:pPr>
            <w:r>
              <w:rPr>
                <w:i/>
                <w:iCs/>
                <w:szCs w:val="28"/>
                <w:u w:val="single"/>
              </w:rPr>
              <w:t>/s/</w:t>
            </w:r>
          </w:p>
        </w:tc>
      </w:tr>
      <w:tr w:rsidR="005A660E" w14:paraId="49C2BC16" w14:textId="77777777">
        <w:tc>
          <w:tcPr>
            <w:tcW w:w="4230" w:type="dxa"/>
          </w:tcPr>
          <w:p w14:paraId="50C3261C"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Kyle Hawkins</w:t>
            </w:r>
          </w:p>
          <w:p w14:paraId="6999E699" w14:textId="77777777" w:rsidR="005A660E" w:rsidRDefault="00831C7D">
            <w:pPr>
              <w:tabs>
                <w:tab w:val="clear" w:pos="475"/>
                <w:tab w:val="clear" w:pos="950"/>
                <w:tab w:val="clear" w:pos="1440"/>
              </w:tabs>
              <w:autoSpaceDE/>
              <w:autoSpaceDN/>
              <w:adjustRightInd/>
              <w:spacing w:line="240" w:lineRule="auto"/>
              <w:jc w:val="both"/>
              <w:rPr>
                <w:smallCaps/>
                <w:szCs w:val="28"/>
              </w:rPr>
            </w:pPr>
            <w:r>
              <w:rPr>
                <w:smallCaps/>
                <w:szCs w:val="28"/>
              </w:rPr>
              <w:t>Lehotsky Keller LLP</w:t>
            </w:r>
          </w:p>
          <w:p w14:paraId="50306109"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 xml:space="preserve">919 Congress Avenue </w:t>
            </w:r>
          </w:p>
          <w:p w14:paraId="6B076DDC" w14:textId="77777777" w:rsidR="005A660E" w:rsidRDefault="00831C7D">
            <w:pPr>
              <w:pStyle w:val="BodyText"/>
              <w:spacing w:line="240" w:lineRule="auto"/>
              <w:ind w:firstLine="0"/>
            </w:pPr>
            <w:r>
              <w:rPr>
                <w:szCs w:val="28"/>
              </w:rPr>
              <w:t>Austin, TX 78701</w:t>
            </w:r>
          </w:p>
        </w:tc>
        <w:tc>
          <w:tcPr>
            <w:tcW w:w="4410" w:type="dxa"/>
          </w:tcPr>
          <w:p w14:paraId="170E77BA"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DRAFT</w:t>
            </w:r>
          </w:p>
          <w:p w14:paraId="2113D624"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Scott A. Keller</w:t>
            </w:r>
          </w:p>
          <w:p w14:paraId="110AE611"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Gabriela Gonzalez-Araiza</w:t>
            </w:r>
          </w:p>
          <w:p w14:paraId="6A28DC7C" w14:textId="77777777" w:rsidR="005A660E" w:rsidRDefault="00831C7D">
            <w:pPr>
              <w:tabs>
                <w:tab w:val="clear" w:pos="475"/>
                <w:tab w:val="clear" w:pos="950"/>
                <w:tab w:val="clear" w:pos="1440"/>
              </w:tabs>
              <w:autoSpaceDE/>
              <w:autoSpaceDN/>
              <w:adjustRightInd/>
              <w:spacing w:line="240" w:lineRule="auto"/>
              <w:jc w:val="both"/>
              <w:rPr>
                <w:smallCaps/>
                <w:szCs w:val="28"/>
              </w:rPr>
            </w:pPr>
            <w:r>
              <w:rPr>
                <w:smallCaps/>
                <w:szCs w:val="28"/>
              </w:rPr>
              <w:t>Lehotsky Keller LLP</w:t>
            </w:r>
          </w:p>
          <w:p w14:paraId="3C9F77BC"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200 Massachusetts Avenue, NW</w:t>
            </w:r>
          </w:p>
          <w:p w14:paraId="4CC13659"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Washington, DC 20001</w:t>
            </w:r>
          </w:p>
          <w:p w14:paraId="2B4EC003"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(512) 693-8350</w:t>
            </w:r>
          </w:p>
          <w:p w14:paraId="0728F81A" w14:textId="77777777" w:rsidR="005A660E" w:rsidRDefault="00831C7D">
            <w:pPr>
              <w:tabs>
                <w:tab w:val="clear" w:pos="475"/>
                <w:tab w:val="clear" w:pos="950"/>
                <w:tab w:val="clear" w:pos="1440"/>
              </w:tabs>
              <w:autoSpaceDE/>
              <w:autoSpaceDN/>
              <w:adjustRightInd/>
              <w:spacing w:line="240" w:lineRule="auto"/>
              <w:jc w:val="both"/>
              <w:rPr>
                <w:szCs w:val="28"/>
              </w:rPr>
            </w:pPr>
            <w:r>
              <w:rPr>
                <w:szCs w:val="28"/>
              </w:rPr>
              <w:t>scott@lehotskykeller.com</w:t>
            </w:r>
          </w:p>
        </w:tc>
      </w:tr>
    </w:tbl>
    <w:p w14:paraId="4EB66C23" w14:textId="77777777" w:rsidR="005A660E" w:rsidRDefault="005A660E">
      <w:pPr>
        <w:pStyle w:val="Heading1"/>
        <w:jc w:val="left"/>
      </w:pPr>
      <w:bookmarkStart w:id="52" w:name="_Toc107384233"/>
      <w:bookmarkStart w:id="53" w:name="_Toc132612940"/>
      <w:bookmarkStart w:id="54" w:name="_Toc149555787"/>
      <w:bookmarkStart w:id="55" w:name="_Toc260228901"/>
      <w:bookmarkStart w:id="56" w:name="_Toc260229155"/>
      <w:bookmarkStart w:id="57" w:name="_Toc260229257"/>
      <w:bookmarkStart w:id="58" w:name="_Toc434487795"/>
      <w:bookmarkStart w:id="59" w:name="_Toc434488051"/>
      <w:bookmarkStart w:id="60" w:name="_Toc439673621"/>
      <w:bookmarkStart w:id="61" w:name="_Toc89149920"/>
      <w:bookmarkStart w:id="62" w:name="_Toc89150363"/>
      <w:bookmarkStart w:id="63" w:name="_Toc89155725"/>
      <w:bookmarkStart w:id="64" w:name="_Toc89194443"/>
      <w:bookmarkStart w:id="65" w:name="_Toc89285914"/>
      <w:bookmarkStart w:id="66" w:name="_Toc89328130"/>
      <w:bookmarkStart w:id="67" w:name="_Toc89339640"/>
      <w:bookmarkStart w:id="68" w:name="_Toc89440681"/>
      <w:bookmarkStart w:id="69" w:name="_Toc90391900"/>
      <w:bookmarkStart w:id="70" w:name="_Toc90621845"/>
      <w:bookmarkStart w:id="71" w:name="_Toc90637067"/>
      <w:bookmarkStart w:id="72" w:name="_Toc90980124"/>
      <w:bookmarkStart w:id="73" w:name="_Toc91073205"/>
      <w:bookmarkStart w:id="74" w:name="_Toc91141543"/>
      <w:bookmarkStart w:id="75" w:name="_Toc91166186"/>
    </w:p>
    <w:p w14:paraId="475F53E1" w14:textId="77777777" w:rsidR="005A660E" w:rsidRDefault="00831C7D">
      <w:pPr>
        <w:tabs>
          <w:tab w:val="clear" w:pos="475"/>
          <w:tab w:val="clear" w:pos="950"/>
          <w:tab w:val="clear" w:pos="1440"/>
        </w:tabs>
        <w:autoSpaceDE/>
        <w:autoSpaceDN/>
        <w:adjustRightInd/>
        <w:spacing w:line="240" w:lineRule="auto"/>
        <w:jc w:val="center"/>
      </w:pPr>
      <w:r>
        <w:rPr>
          <w:i/>
          <w:iCs/>
          <w:szCs w:val="28"/>
        </w:rPr>
        <w:t>Counsel for Amicus Curiae</w:t>
      </w:r>
    </w:p>
    <w:p w14:paraId="2F21BE6C" w14:textId="77777777" w:rsidR="005A660E" w:rsidRDefault="00831C7D">
      <w:pPr>
        <w:tabs>
          <w:tab w:val="clear" w:pos="475"/>
          <w:tab w:val="clear" w:pos="950"/>
          <w:tab w:val="clear" w:pos="1440"/>
        </w:tabs>
        <w:autoSpaceDE/>
        <w:autoSpaceDN/>
        <w:adjustRightInd/>
        <w:spacing w:line="240" w:lineRule="auto"/>
        <w:rPr>
          <w:b/>
          <w:bCs/>
          <w:smallCaps/>
          <w:sz w:val="30"/>
          <w:szCs w:val="30"/>
        </w:rPr>
      </w:pPr>
      <w:r>
        <w:br w:type="page"/>
      </w:r>
    </w:p>
    <w:p w14:paraId="3C930D5A" w14:textId="77777777" w:rsidR="005A660E" w:rsidRDefault="00831C7D">
      <w:pPr>
        <w:pStyle w:val="Heading1"/>
        <w:rPr>
          <w:spacing w:val="20"/>
        </w:rPr>
      </w:pPr>
      <w:bookmarkStart w:id="76" w:name="_Toc95847588"/>
      <w:bookmarkStart w:id="77" w:name="_Toc111015063"/>
      <w:r>
        <w:rPr>
          <w:spacing w:val="20"/>
        </w:rPr>
        <w:lastRenderedPageBreak/>
        <w:t>Certificate of Service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7074008C" w14:textId="77777777" w:rsidR="005A660E" w:rsidRDefault="00831C7D">
      <w:pPr>
        <w:pStyle w:val="BodyText"/>
      </w:pPr>
      <w:bookmarkStart w:id="78" w:name="_Hlk91497108"/>
      <w:r>
        <w:t xml:space="preserve">On </w:t>
      </w:r>
      <w:r>
        <w:rPr>
          <w:szCs w:val="28"/>
        </w:rPr>
        <w:t>August 15, 2022</w:t>
      </w:r>
      <w:r>
        <w:t>, this brief was served via CM/ECF on all registered counsel and transmitted to the Clerk of the Court.</w:t>
      </w:r>
      <w:bookmarkEnd w:id="78"/>
    </w:p>
    <w:tbl>
      <w:tblPr>
        <w:tblW w:w="0" w:type="auto"/>
        <w:tblLook w:val="04A0" w:firstRow="1" w:lastRow="0" w:firstColumn="1" w:lastColumn="0" w:noHBand="0" w:noVBand="1"/>
      </w:tblPr>
      <w:tblGrid>
        <w:gridCol w:w="4230"/>
        <w:gridCol w:w="4410"/>
      </w:tblGrid>
      <w:tr w:rsidR="005A660E" w14:paraId="030F0DB3" w14:textId="77777777">
        <w:tc>
          <w:tcPr>
            <w:tcW w:w="4230" w:type="dxa"/>
          </w:tcPr>
          <w:p w14:paraId="2D45E64F" w14:textId="77777777" w:rsidR="005A660E" w:rsidRDefault="005A660E">
            <w:pPr>
              <w:pStyle w:val="BodyText"/>
              <w:spacing w:line="240" w:lineRule="auto"/>
            </w:pPr>
          </w:p>
        </w:tc>
        <w:tc>
          <w:tcPr>
            <w:tcW w:w="4410" w:type="dxa"/>
          </w:tcPr>
          <w:p w14:paraId="6DA12A74" w14:textId="77777777" w:rsidR="005A660E" w:rsidRDefault="00831C7D">
            <w:pPr>
              <w:pStyle w:val="BodyTextSingleSpaced"/>
              <w:spacing w:before="240"/>
              <w:rPr>
                <w:rFonts w:eastAsiaTheme="majorEastAsia"/>
                <w:i/>
                <w:iCs/>
                <w:u w:val="single"/>
              </w:rPr>
            </w:pPr>
            <w:bookmarkStart w:id="79" w:name="_Hlk89073318"/>
            <w:r>
              <w:rPr>
                <w:rFonts w:eastAsiaTheme="majorEastAsia"/>
                <w:u w:val="single"/>
              </w:rPr>
              <w:t>/s/</w:t>
            </w:r>
          </w:p>
          <w:p w14:paraId="5AE6A876" w14:textId="77777777" w:rsidR="005A660E" w:rsidRDefault="00831C7D">
            <w:pPr>
              <w:pStyle w:val="BodyTextSingleSpaced"/>
              <w:spacing w:before="240"/>
              <w:rPr>
                <w:rFonts w:eastAsiaTheme="majorEastAsia"/>
                <w:szCs w:val="28"/>
              </w:rPr>
            </w:pPr>
            <w:r>
              <w:rPr>
                <w:szCs w:val="28"/>
              </w:rPr>
              <w:t>DRAFT</w:t>
            </w:r>
          </w:p>
          <w:bookmarkEnd w:id="79"/>
          <w:p w14:paraId="5DD9AEAD" w14:textId="77777777" w:rsidR="005A660E" w:rsidRDefault="005A660E">
            <w:pPr>
              <w:pStyle w:val="BodyText"/>
              <w:spacing w:line="240" w:lineRule="auto"/>
              <w:rPr>
                <w:spacing w:val="20"/>
              </w:rPr>
            </w:pPr>
          </w:p>
        </w:tc>
      </w:tr>
    </w:tbl>
    <w:p w14:paraId="738D4040" w14:textId="77777777" w:rsidR="005A660E" w:rsidRDefault="00831C7D">
      <w:pPr>
        <w:pStyle w:val="Heading1"/>
        <w:rPr>
          <w:spacing w:val="20"/>
        </w:rPr>
      </w:pPr>
      <w:bookmarkStart w:id="80" w:name="_Toc430167942"/>
      <w:bookmarkStart w:id="81" w:name="_Toc434487796"/>
      <w:bookmarkStart w:id="82" w:name="_Toc434488052"/>
      <w:bookmarkStart w:id="83" w:name="_Toc439673622"/>
      <w:bookmarkStart w:id="84" w:name="_Toc89149921"/>
      <w:bookmarkStart w:id="85" w:name="_Toc89150364"/>
      <w:bookmarkStart w:id="86" w:name="_Toc89155726"/>
      <w:bookmarkStart w:id="87" w:name="_Toc89194444"/>
      <w:bookmarkStart w:id="88" w:name="_Toc89285915"/>
      <w:bookmarkStart w:id="89" w:name="_Toc89328131"/>
      <w:bookmarkStart w:id="90" w:name="_Toc89339641"/>
      <w:bookmarkStart w:id="91" w:name="_Toc89440682"/>
      <w:bookmarkStart w:id="92" w:name="_Toc90391901"/>
      <w:bookmarkStart w:id="93" w:name="_Toc90621846"/>
      <w:bookmarkStart w:id="94" w:name="_Toc90637068"/>
      <w:bookmarkStart w:id="95" w:name="_Toc90980125"/>
      <w:bookmarkStart w:id="96" w:name="_Toc91073206"/>
      <w:bookmarkStart w:id="97" w:name="_Toc91141544"/>
      <w:bookmarkStart w:id="98" w:name="_Toc91166187"/>
      <w:bookmarkStart w:id="99" w:name="_Toc95847589"/>
      <w:bookmarkStart w:id="100" w:name="_Toc111015064"/>
      <w:r>
        <w:rPr>
          <w:spacing w:val="20"/>
        </w:rPr>
        <w:t>Certificate of Compliance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CE6C83F" w14:textId="77777777" w:rsidR="005A660E" w:rsidRDefault="00831C7D">
      <w:pPr>
        <w:pStyle w:val="BodyText"/>
      </w:pPr>
      <w:r>
        <w:t xml:space="preserve">This brief complies with: (1) the type-volume limitation of Federal Rule of Appellate Procedure 29(a)(5) because it contains </w:t>
      </w:r>
      <w:r>
        <w:rPr>
          <w:highlight w:val="yellow"/>
        </w:rPr>
        <w:t>XX</w:t>
      </w:r>
      <w:r>
        <w:t xml:space="preserve"> words, excluding the parts of the brief exempted by Rule 32(f); and (2) the typeface and type style requirements of Rule 32(a)(5) and Rule 32(a)(6) because it has been prepared in a proportionally spaced typeface (14-point Palatino Linotype) using Microsoft Word (the same program used to calculate the word count).</w:t>
      </w:r>
    </w:p>
    <w:tbl>
      <w:tblPr>
        <w:tblW w:w="0" w:type="auto"/>
        <w:tblLook w:val="04A0" w:firstRow="1" w:lastRow="0" w:firstColumn="1" w:lastColumn="0" w:noHBand="0" w:noVBand="1"/>
      </w:tblPr>
      <w:tblGrid>
        <w:gridCol w:w="4230"/>
        <w:gridCol w:w="4410"/>
      </w:tblGrid>
      <w:tr w:rsidR="005A660E" w14:paraId="483F9706" w14:textId="77777777">
        <w:trPr>
          <w:trHeight w:val="657"/>
        </w:trPr>
        <w:tc>
          <w:tcPr>
            <w:tcW w:w="4230" w:type="dxa"/>
          </w:tcPr>
          <w:p w14:paraId="0C9CE026" w14:textId="77777777" w:rsidR="005A660E" w:rsidRDefault="005A660E">
            <w:pPr>
              <w:pStyle w:val="BodyText"/>
              <w:spacing w:line="240" w:lineRule="auto"/>
            </w:pPr>
          </w:p>
        </w:tc>
        <w:tc>
          <w:tcPr>
            <w:tcW w:w="4410" w:type="dxa"/>
          </w:tcPr>
          <w:p w14:paraId="794FBB50" w14:textId="77777777" w:rsidR="005A660E" w:rsidRDefault="00831C7D">
            <w:pPr>
              <w:pStyle w:val="BodyTextSingleSpaced"/>
              <w:spacing w:before="240"/>
              <w:rPr>
                <w:rFonts w:eastAsiaTheme="majorEastAsia"/>
                <w:i/>
                <w:iCs/>
                <w:u w:val="single"/>
              </w:rPr>
            </w:pPr>
            <w:r>
              <w:rPr>
                <w:rFonts w:eastAsiaTheme="majorEastAsia"/>
                <w:u w:val="single"/>
              </w:rPr>
              <w:t>/s/</w:t>
            </w:r>
          </w:p>
          <w:p w14:paraId="02D1DE08" w14:textId="77777777" w:rsidR="005A660E" w:rsidRDefault="00831C7D">
            <w:pPr>
              <w:pStyle w:val="BodyText"/>
              <w:spacing w:line="240" w:lineRule="auto"/>
            </w:pPr>
            <w:r>
              <w:rPr>
                <w:szCs w:val="28"/>
              </w:rPr>
              <w:t>DRAFT</w:t>
            </w:r>
          </w:p>
        </w:tc>
      </w:tr>
      <w:bookmarkEnd w:id="51"/>
    </w:tbl>
    <w:p w14:paraId="4A918AE9" w14:textId="77777777" w:rsidR="005A660E" w:rsidRDefault="005A660E">
      <w:pPr>
        <w:pStyle w:val="Cover-Docketnumber"/>
        <w:pBdr>
          <w:bottom w:val="none" w:sz="0" w:space="0" w:color="auto"/>
        </w:pBdr>
      </w:pPr>
    </w:p>
    <w:p w14:paraId="4C8AF34C" w14:textId="77777777" w:rsidR="005A660E" w:rsidRDefault="005A660E">
      <w:pPr>
        <w:pStyle w:val="Cover-Docketnumber"/>
        <w:pBdr>
          <w:bottom w:val="none" w:sz="0" w:space="0" w:color="auto"/>
        </w:pBdr>
      </w:pPr>
    </w:p>
    <w:p w14:paraId="09A47E9C" w14:textId="77777777" w:rsidR="005A660E" w:rsidRDefault="005A660E"/>
    <w:sectPr w:rsidR="005A660E">
      <w:type w:val="continuous"/>
      <w:pgSz w:w="12240" w:h="15840"/>
      <w:pgMar w:top="1440" w:right="1440" w:bottom="1440" w:left="1440" w:header="720" w:footer="144" w:gutter="0"/>
      <w:pgNumType w:start="1"/>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Gabriela Gonzalez-Araiza" w:date="2022-08-06T12:19:00Z" w:initials="GGA">
    <w:p w14:paraId="00D2C038" w14:textId="77777777" w:rsidR="005A660E" w:rsidRDefault="00831C7D">
      <w:r>
        <w:rPr>
          <w:rStyle w:val="CommentReference"/>
        </w:rPr>
        <w:annotationRef/>
      </w:r>
      <w:r>
        <w:rPr>
          <w:sz w:val="20"/>
        </w:rPr>
        <w:t>Confirm with client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D2C0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D2C038" w16cid:durableId="269E1B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850D" w14:textId="77777777" w:rsidR="00D33CDE" w:rsidRDefault="00D33CDE">
      <w:pPr>
        <w:spacing w:line="240" w:lineRule="auto"/>
      </w:pPr>
      <w:r>
        <w:separator/>
      </w:r>
    </w:p>
  </w:endnote>
  <w:endnote w:type="continuationSeparator" w:id="0">
    <w:p w14:paraId="36AACBA4" w14:textId="77777777" w:rsidR="00D33CDE" w:rsidRDefault="00D33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201254"/>
      <w:docPartObj>
        <w:docPartGallery w:val="Page Numbers (Bottom of Page)"/>
        <w:docPartUnique/>
      </w:docPartObj>
    </w:sdtPr>
    <w:sdtEndPr>
      <w:rPr>
        <w:noProof/>
      </w:rPr>
    </w:sdtEndPr>
    <w:sdtContent>
      <w:p w14:paraId="18515229" w14:textId="77777777" w:rsidR="005A660E" w:rsidRDefault="00831C7D">
        <w:pPr>
          <w:pStyle w:val="Footer"/>
        </w:pPr>
        <w:r>
          <w:fldChar w:fldCharType="begin"/>
        </w:r>
        <w:r>
          <w:instrText xml:space="preserve"> PAGE   \* MERGEFORMAT </w:instrText>
        </w:r>
        <w:r>
          <w:fldChar w:fldCharType="separate"/>
        </w:r>
        <w:r>
          <w:rPr>
            <w:noProof/>
          </w:rPr>
          <w:t>1</w:t>
        </w:r>
        <w:r>
          <w:rPr>
            <w:noProof/>
          </w:rPr>
          <w:fldChar w:fldCharType="end"/>
        </w:r>
      </w:p>
    </w:sdtContent>
  </w:sdt>
  <w:p w14:paraId="02C9B675" w14:textId="77777777" w:rsidR="005A660E" w:rsidRDefault="005A6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535767"/>
      <w:docPartObj>
        <w:docPartGallery w:val="Page Numbers (Bottom of Page)"/>
        <w:docPartUnique/>
      </w:docPartObj>
    </w:sdtPr>
    <w:sdtEndPr>
      <w:rPr>
        <w:noProof/>
      </w:rPr>
    </w:sdtEndPr>
    <w:sdtContent>
      <w:p w14:paraId="5E7A0671" w14:textId="77777777" w:rsidR="005A660E" w:rsidRDefault="00831C7D">
        <w:pPr>
          <w:pStyle w:val="Footer"/>
        </w:pPr>
        <w:r>
          <w:t xml:space="preserve">C-2 of </w:t>
        </w:r>
        <w:r>
          <w:fldChar w:fldCharType="begin"/>
        </w:r>
        <w:r>
          <w:instrText xml:space="preserve"> PAGE   \* MERGEFORMAT </w:instrText>
        </w:r>
        <w:r>
          <w:fldChar w:fldCharType="separate"/>
        </w:r>
        <w:r>
          <w:rPr>
            <w:noProof/>
          </w:rPr>
          <w:t>2</w:t>
        </w:r>
        <w:r>
          <w:rPr>
            <w:noProof/>
          </w:rPr>
          <w:fldChar w:fldCharType="end"/>
        </w:r>
      </w:p>
    </w:sdtContent>
  </w:sdt>
  <w:p w14:paraId="0A561251" w14:textId="77777777" w:rsidR="005A660E" w:rsidRDefault="005A660E">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1DDF" w14:textId="77777777" w:rsidR="005A660E" w:rsidRDefault="00831C7D">
    <w:pPr>
      <w:pStyle w:val="Footer"/>
    </w:pPr>
    <w:r>
      <w:t>C-1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927984"/>
      <w:docPartObj>
        <w:docPartGallery w:val="Page Numbers (Bottom of Page)"/>
        <w:docPartUnique/>
      </w:docPartObj>
    </w:sdtPr>
    <w:sdtEndPr>
      <w:rPr>
        <w:noProof/>
      </w:rPr>
    </w:sdtEndPr>
    <w:sdtContent>
      <w:p w14:paraId="72F01D0A" w14:textId="77777777" w:rsidR="005A660E" w:rsidRDefault="00831C7D">
        <w:pPr>
          <w:pStyle w:val="Footer"/>
        </w:pPr>
        <w:r>
          <w:fldChar w:fldCharType="begin"/>
        </w:r>
        <w:r>
          <w:instrText xml:space="preserve"> PAGE   \* MERGEFORMAT </w:instrText>
        </w:r>
        <w:r>
          <w:fldChar w:fldCharType="separate"/>
        </w:r>
        <w:r>
          <w:rPr>
            <w:noProof/>
          </w:rPr>
          <w:t>2</w:t>
        </w:r>
        <w:r>
          <w:rPr>
            <w:noProof/>
          </w:rPr>
          <w:fldChar w:fldCharType="end"/>
        </w:r>
      </w:p>
    </w:sdtContent>
  </w:sdt>
  <w:p w14:paraId="009703F8" w14:textId="77777777" w:rsidR="005A660E" w:rsidRDefault="005A660E">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D0B" w14:textId="77777777" w:rsidR="005A660E" w:rsidRDefault="005A6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0A30" w14:textId="77777777" w:rsidR="00D33CDE" w:rsidRDefault="00D33CDE">
      <w:pPr>
        <w:spacing w:line="240" w:lineRule="auto"/>
      </w:pPr>
      <w:r>
        <w:separator/>
      </w:r>
    </w:p>
  </w:footnote>
  <w:footnote w:type="continuationSeparator" w:id="0">
    <w:p w14:paraId="0EA3463F" w14:textId="77777777" w:rsidR="00D33CDE" w:rsidRDefault="00D33CDE">
      <w:pPr>
        <w:spacing w:line="240" w:lineRule="auto"/>
      </w:pPr>
      <w:r>
        <w:continuationSeparator/>
      </w:r>
    </w:p>
  </w:footnote>
  <w:footnote w:id="1">
    <w:p w14:paraId="105D40BA" w14:textId="77777777" w:rsidR="005A660E" w:rsidRDefault="00831C7D">
      <w:pPr>
        <w:pStyle w:val="FootnoteText"/>
      </w:pPr>
      <w:r>
        <w:rPr>
          <w:rStyle w:val="FootnoteReference"/>
        </w:rPr>
        <w:footnoteRef/>
      </w:r>
      <w:r>
        <w:t xml:space="preserve"> No counsel for any party authored this brief in whole or in part, and no entity or person, aside from amicus curiae, its members, or its counsel, made any monetary contribution intended to fund the preparation or submission of this brief. </w:t>
      </w:r>
      <w:r>
        <w:rPr>
          <w:i/>
          <w:iCs/>
        </w:rPr>
        <w:t>See</w:t>
      </w:r>
      <w:r>
        <w:t xml:space="preserve"> F</w:t>
      </w:r>
      <w:bookmarkStart w:id="35" w:name="_BA_Cite_B61546_000195"/>
      <w:bookmarkEnd w:id="35"/>
      <w:r>
        <w:t xml:space="preserve">ed. R. App. P. 29(a)(4)(E). </w:t>
      </w:r>
      <w:r>
        <w:rPr>
          <w:highlight w:val="yellow"/>
        </w:rPr>
        <w:t>Counsel for Appellants and Appellees do not oppose the filing of this amicus brief.</w:t>
      </w:r>
      <w:r>
        <w:t xml:space="preserve"> </w:t>
      </w:r>
      <w:r>
        <w:rPr>
          <w:i/>
          <w:iCs/>
        </w:rPr>
        <w:t>See</w:t>
      </w:r>
      <w:r>
        <w:t xml:space="preserve"> F</w:t>
      </w:r>
      <w:bookmarkStart w:id="36" w:name="_BA_Cite_B61546_000699"/>
      <w:bookmarkEnd w:id="36"/>
      <w:r>
        <w:t>ed. R. App. P. 29(a)(2).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5AFD" w14:textId="77777777" w:rsidR="005A660E" w:rsidRDefault="00831C7D">
    <w:pPr>
      <w:pStyle w:val="Header"/>
      <w:jc w:val="center"/>
    </w:pPr>
    <w:r>
      <w:rPr>
        <w:i/>
        <w:iCs/>
      </w:rPr>
      <w:t>Cambridge Christian School, Inc. v. Florida High School Athletic Association, Inc.</w:t>
    </w:r>
    <w:r>
      <w:t>, No. 22-11222</w:t>
    </w:r>
  </w:p>
  <w:p w14:paraId="40A65D66" w14:textId="77777777" w:rsidR="005A660E" w:rsidRDefault="005A6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072A" w14:textId="77777777" w:rsidR="005A660E" w:rsidRDefault="00831C7D">
    <w:pPr>
      <w:pStyle w:val="Header"/>
      <w:jc w:val="center"/>
    </w:pPr>
    <w:r>
      <w:rPr>
        <w:i/>
        <w:iCs/>
      </w:rPr>
      <w:t>Cambridge Christian School, Inc. v. Florida High School Athletic Association, Inc.</w:t>
    </w:r>
    <w:r>
      <w:t>, No. 22-11222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83E4" w14:textId="77777777" w:rsidR="005A660E" w:rsidRDefault="005A66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57C0" w14:textId="77777777" w:rsidR="005A660E" w:rsidRDefault="005A6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537"/>
    <w:multiLevelType w:val="hybridMultilevel"/>
    <w:tmpl w:val="94DC3364"/>
    <w:lvl w:ilvl="0" w:tplc="0AD866CA">
      <w:start w:val="1"/>
      <w:numFmt w:val="upperRoman"/>
      <w:pStyle w:val="Heading2"/>
      <w:lvlText w:val="%1."/>
      <w:lvlJc w:val="right"/>
      <w:pPr>
        <w:ind w:left="540" w:hanging="360"/>
      </w:pPr>
      <w:rPr>
        <w:i w:val="0"/>
        <w:iCs w:val="0"/>
      </w:rPr>
    </w:lvl>
    <w:lvl w:ilvl="1" w:tplc="04090019" w:tentative="1">
      <w:start w:val="1"/>
      <w:numFmt w:val="lowerLetter"/>
      <w:lvlText w:val="%2."/>
      <w:lvlJc w:val="left"/>
      <w:pPr>
        <w:ind w:left="1260" w:hanging="360"/>
      </w:pPr>
    </w:lvl>
    <w:lvl w:ilvl="2" w:tplc="0409001B" w:tentative="1">
      <w:start w:val="1"/>
      <w:numFmt w:val="lowerRoman"/>
      <w:pStyle w:val="Heading3"/>
      <w:lvlText w:val="%3."/>
      <w:lvlJc w:val="right"/>
      <w:pPr>
        <w:ind w:left="1980" w:hanging="180"/>
      </w:pPr>
    </w:lvl>
    <w:lvl w:ilvl="3" w:tplc="0409000F" w:tentative="1">
      <w:start w:val="1"/>
      <w:numFmt w:val="decimal"/>
      <w:pStyle w:val="Heading4"/>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B930A7"/>
    <w:multiLevelType w:val="hybridMultilevel"/>
    <w:tmpl w:val="62F6E2E2"/>
    <w:lvl w:ilvl="0" w:tplc="92844EBE">
      <w:start w:val="1"/>
      <w:numFmt w:val="upp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19B903E1"/>
    <w:multiLevelType w:val="hybridMultilevel"/>
    <w:tmpl w:val="DE44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B61A9"/>
    <w:multiLevelType w:val="hybridMultilevel"/>
    <w:tmpl w:val="41A830AA"/>
    <w:lvl w:ilvl="0" w:tplc="4FFCF818">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4864234"/>
    <w:multiLevelType w:val="hybridMultilevel"/>
    <w:tmpl w:val="62F6E2E2"/>
    <w:lvl w:ilvl="0" w:tplc="FFFFFFFF">
      <w:start w:val="1"/>
      <w:numFmt w:val="upperLetter"/>
      <w:lvlText w:val="%1."/>
      <w:lvlJc w:val="left"/>
      <w:pPr>
        <w:ind w:left="907" w:hanging="360"/>
      </w:pPr>
      <w:rPr>
        <w:rFonts w:hint="default"/>
      </w:rPr>
    </w:lvl>
    <w:lvl w:ilvl="1" w:tplc="FFFFFFFF">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num w:numId="1" w16cid:durableId="1376544562">
    <w:abstractNumId w:val="0"/>
  </w:num>
  <w:num w:numId="2" w16cid:durableId="747968744">
    <w:abstractNumId w:val="2"/>
  </w:num>
  <w:num w:numId="3" w16cid:durableId="951282656">
    <w:abstractNumId w:val="1"/>
  </w:num>
  <w:num w:numId="4" w16cid:durableId="2133864289">
    <w:abstractNumId w:val="4"/>
  </w:num>
  <w:num w:numId="5" w16cid:durableId="13449399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a Gonzalez-Araiza">
    <w15:presenceInfo w15:providerId="AD" w15:userId="S::gabriela@lehotskykeller.com::6ea619bd-c471-48f2-884c-7d1d2d9521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0E"/>
    <w:rsid w:val="0033380F"/>
    <w:rsid w:val="005A660E"/>
    <w:rsid w:val="00631A23"/>
    <w:rsid w:val="00831C7D"/>
    <w:rsid w:val="00A71821"/>
    <w:rsid w:val="00CF7532"/>
    <w:rsid w:val="00D33CDE"/>
    <w:rsid w:val="00ED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6565"/>
  <w15:chartTrackingRefBased/>
  <w15:docId w15:val="{2DAA4279-558D-B644-8A9C-0964F669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tabs>
        <w:tab w:val="left" w:pos="475"/>
        <w:tab w:val="left" w:pos="950"/>
        <w:tab w:val="left" w:pos="1440"/>
      </w:tabs>
      <w:autoSpaceDE w:val="0"/>
      <w:autoSpaceDN w:val="0"/>
      <w:adjustRightInd w:val="0"/>
      <w:spacing w:line="560" w:lineRule="exact"/>
    </w:pPr>
    <w:rPr>
      <w:rFonts w:ascii="Palatino Linotype" w:eastAsia="Times New Roman" w:hAnsi="Palatino Linotype" w:cs="Times New Roman"/>
      <w:sz w:val="28"/>
      <w:szCs w:val="20"/>
    </w:rPr>
  </w:style>
  <w:style w:type="paragraph" w:styleId="Heading1">
    <w:name w:val="heading 1"/>
    <w:basedOn w:val="Normal"/>
    <w:next w:val="BodyText"/>
    <w:link w:val="Heading1Char"/>
    <w:qFormat/>
    <w:pPr>
      <w:tabs>
        <w:tab w:val="clear" w:pos="475"/>
        <w:tab w:val="clear" w:pos="950"/>
        <w:tab w:val="clear" w:pos="1440"/>
      </w:tabs>
      <w:autoSpaceDE/>
      <w:autoSpaceDN/>
      <w:adjustRightInd/>
      <w:spacing w:line="240" w:lineRule="auto"/>
      <w:jc w:val="center"/>
      <w:outlineLvl w:val="0"/>
    </w:pPr>
    <w:rPr>
      <w:b/>
      <w:bCs/>
      <w:smallCaps/>
      <w:sz w:val="30"/>
      <w:szCs w:val="30"/>
    </w:rPr>
  </w:style>
  <w:style w:type="paragraph" w:styleId="Heading2">
    <w:name w:val="heading 2"/>
    <w:basedOn w:val="ListParagraph"/>
    <w:next w:val="BodyText"/>
    <w:link w:val="Heading2Char"/>
    <w:qFormat/>
    <w:pPr>
      <w:numPr>
        <w:numId w:val="1"/>
      </w:numPr>
      <w:tabs>
        <w:tab w:val="clear" w:pos="475"/>
        <w:tab w:val="clear" w:pos="950"/>
        <w:tab w:val="clear" w:pos="1440"/>
      </w:tabs>
      <w:autoSpaceDE/>
      <w:autoSpaceDN/>
      <w:adjustRightInd/>
      <w:spacing w:line="240" w:lineRule="auto"/>
      <w:outlineLvl w:val="1"/>
    </w:pPr>
    <w:rPr>
      <w:b/>
      <w:bCs/>
    </w:rPr>
  </w:style>
  <w:style w:type="paragraph" w:styleId="Heading3">
    <w:name w:val="heading 3"/>
    <w:basedOn w:val="Heading2"/>
    <w:next w:val="BodyText"/>
    <w:link w:val="Heading3Char"/>
    <w:qFormat/>
    <w:pPr>
      <w:numPr>
        <w:ilvl w:val="2"/>
      </w:numPr>
      <w:outlineLvl w:val="2"/>
    </w:pPr>
    <w:rPr>
      <w:szCs w:val="30"/>
    </w:rPr>
  </w:style>
  <w:style w:type="paragraph" w:styleId="Heading4">
    <w:name w:val="heading 4"/>
    <w:basedOn w:val="Heading3"/>
    <w:next w:val="BodyText"/>
    <w:link w:val="Heading4Char"/>
    <w:uiPriority w:val="9"/>
    <w:qFormat/>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Palatino Linotype" w:eastAsia="Times New Roman" w:hAnsi="Palatino Linotype" w:cs="Times New Roman"/>
      <w:b/>
      <w:bCs/>
      <w:smallCaps/>
      <w:sz w:val="30"/>
      <w:szCs w:val="30"/>
    </w:rPr>
  </w:style>
  <w:style w:type="character" w:customStyle="1" w:styleId="Heading2Char">
    <w:name w:val="Heading 2 Char"/>
    <w:basedOn w:val="DefaultParagraphFont"/>
    <w:link w:val="Heading2"/>
    <w:rPr>
      <w:rFonts w:ascii="Palatino Linotype" w:eastAsia="Times New Roman" w:hAnsi="Palatino Linotype" w:cs="Times New Roman"/>
      <w:b/>
      <w:bCs/>
      <w:sz w:val="28"/>
      <w:szCs w:val="20"/>
    </w:rPr>
  </w:style>
  <w:style w:type="character" w:customStyle="1" w:styleId="Heading3Char">
    <w:name w:val="Heading 3 Char"/>
    <w:basedOn w:val="DefaultParagraphFont"/>
    <w:link w:val="Heading3"/>
    <w:rPr>
      <w:rFonts w:ascii="Palatino Linotype" w:eastAsia="Times New Roman" w:hAnsi="Palatino Linotype" w:cs="Times New Roman"/>
      <w:b/>
      <w:bCs/>
      <w:sz w:val="28"/>
      <w:szCs w:val="30"/>
    </w:rPr>
  </w:style>
  <w:style w:type="character" w:customStyle="1" w:styleId="Heading4Char">
    <w:name w:val="Heading 4 Char"/>
    <w:basedOn w:val="DefaultParagraphFont"/>
    <w:link w:val="Heading4"/>
    <w:uiPriority w:val="9"/>
    <w:rPr>
      <w:rFonts w:ascii="Palatino Linotype" w:eastAsia="Times New Roman" w:hAnsi="Palatino Linotype" w:cs="Times New Roman"/>
      <w:b/>
      <w:bCs/>
      <w:sz w:val="28"/>
      <w:szCs w:val="30"/>
    </w:rPr>
  </w:style>
  <w:style w:type="paragraph" w:styleId="BodyText">
    <w:name w:val="Body Text"/>
    <w:basedOn w:val="Normal"/>
    <w:link w:val="BodyTextChar"/>
    <w:qFormat/>
    <w:pPr>
      <w:ind w:firstLine="475"/>
      <w:jc w:val="both"/>
    </w:pPr>
  </w:style>
  <w:style w:type="character" w:customStyle="1" w:styleId="BodyTextChar">
    <w:name w:val="Body Text Char"/>
    <w:basedOn w:val="DefaultParagraphFont"/>
    <w:link w:val="BodyText"/>
    <w:rPr>
      <w:rFonts w:ascii="Palatino Linotype" w:eastAsia="Times New Roman" w:hAnsi="Palatino Linotype" w:cs="Times New Roman"/>
      <w:sz w:val="28"/>
      <w:szCs w:val="20"/>
    </w:rPr>
  </w:style>
  <w:style w:type="paragraph" w:styleId="FootnoteText">
    <w:name w:val="footnote text"/>
    <w:basedOn w:val="Normal"/>
    <w:link w:val="FootnoteTextChar"/>
    <w:uiPriority w:val="99"/>
    <w:qFormat/>
    <w:pPr>
      <w:spacing w:after="120" w:line="240" w:lineRule="auto"/>
      <w:jc w:val="both"/>
    </w:pPr>
  </w:style>
  <w:style w:type="character" w:customStyle="1" w:styleId="FootnoteTextChar">
    <w:name w:val="Footnote Text Char"/>
    <w:basedOn w:val="DefaultParagraphFont"/>
    <w:link w:val="FootnoteText"/>
    <w:uiPriority w:val="99"/>
    <w:rPr>
      <w:rFonts w:ascii="Palatino Linotype" w:eastAsia="Times New Roman" w:hAnsi="Palatino Linotype" w:cs="Times New Roman"/>
      <w:sz w:val="28"/>
      <w:szCs w:val="20"/>
    </w:rPr>
  </w:style>
  <w:style w:type="character" w:styleId="FootnoteReference">
    <w:name w:val="footnote reference"/>
    <w:basedOn w:val="DefaultParagraphFont"/>
    <w:uiPriority w:val="99"/>
    <w:rPr>
      <w:rFonts w:ascii="Palatino Linotype" w:hAnsi="Palatino Linotype"/>
      <w:vertAlign w:val="superscript"/>
    </w:rPr>
  </w:style>
  <w:style w:type="paragraph" w:styleId="Footer">
    <w:name w:val="footer"/>
    <w:basedOn w:val="Normal"/>
    <w:link w:val="FooterChar"/>
    <w:uiPriority w:val="99"/>
    <w:pPr>
      <w:tabs>
        <w:tab w:val="center" w:pos="4320"/>
        <w:tab w:val="right" w:pos="8640"/>
      </w:tabs>
      <w:jc w:val="center"/>
    </w:pPr>
  </w:style>
  <w:style w:type="character" w:customStyle="1" w:styleId="FooterChar">
    <w:name w:val="Footer Char"/>
    <w:basedOn w:val="DefaultParagraphFont"/>
    <w:link w:val="Footer"/>
    <w:uiPriority w:val="99"/>
    <w:rPr>
      <w:rFonts w:ascii="Palatino Linotype" w:eastAsia="Times New Roman" w:hAnsi="Palatino Linotype" w:cs="Times New Roman"/>
      <w:sz w:val="28"/>
      <w:szCs w:val="20"/>
    </w:rPr>
  </w:style>
  <w:style w:type="paragraph" w:customStyle="1" w:styleId="Cover-Courtname">
    <w:name w:val="Cover - Court name"/>
    <w:basedOn w:val="Normal"/>
    <w:next w:val="Normal"/>
    <w:pPr>
      <w:tabs>
        <w:tab w:val="left" w:pos="3960"/>
      </w:tabs>
      <w:spacing w:before="120"/>
      <w:jc w:val="center"/>
    </w:pPr>
    <w:rPr>
      <w:rFonts w:ascii="Old English Text MT" w:hAnsi="Old English Text MT"/>
      <w:spacing w:val="-8"/>
      <w:sz w:val="52"/>
      <w:szCs w:val="56"/>
    </w:rPr>
  </w:style>
  <w:style w:type="paragraph" w:customStyle="1" w:styleId="Cover-Docketnumber">
    <w:name w:val="Cover - Docket number"/>
    <w:basedOn w:val="Normal"/>
    <w:pPr>
      <w:pBdr>
        <w:bottom w:val="thinThickSmallGap" w:sz="24" w:space="1" w:color="auto"/>
      </w:pBdr>
      <w:tabs>
        <w:tab w:val="left" w:pos="1915"/>
        <w:tab w:val="left" w:pos="2390"/>
        <w:tab w:val="left" w:pos="2880"/>
      </w:tabs>
      <w:autoSpaceDE/>
      <w:autoSpaceDN/>
      <w:adjustRightInd/>
      <w:jc w:val="center"/>
    </w:pPr>
    <w:rPr>
      <w:rFonts w:eastAsiaTheme="minorHAnsi" w:cstheme="minorBidi"/>
      <w:b/>
      <w:szCs w:val="22"/>
    </w:rPr>
  </w:style>
  <w:style w:type="paragraph" w:customStyle="1" w:styleId="BodyTextSingleSpaced">
    <w:name w:val="Body Text (Single Spaced)"/>
    <w:basedOn w:val="BodyText"/>
    <w:pPr>
      <w:spacing w:before="200" w:line="240" w:lineRule="auto"/>
      <w:contextualSpacing/>
    </w:pPr>
    <w:rPr>
      <w:lang w:val="en-CA"/>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Palatino Linotype" w:eastAsia="Times New Roman" w:hAnsi="Palatino Linotype" w:cs="Times New Roman"/>
      <w:sz w:val="20"/>
      <w:szCs w:val="20"/>
    </w:rPr>
  </w:style>
  <w:style w:type="paragraph" w:styleId="Header">
    <w:name w:val="header"/>
    <w:basedOn w:val="Normal"/>
    <w:link w:val="HeaderChar"/>
    <w:uiPriority w:val="99"/>
    <w:unhideWhenUsed/>
    <w:pPr>
      <w:tabs>
        <w:tab w:val="clear" w:pos="475"/>
        <w:tab w:val="clear" w:pos="950"/>
        <w:tab w:val="clear" w:pos="1440"/>
        <w:tab w:val="center" w:pos="4680"/>
        <w:tab w:val="right" w:pos="9360"/>
      </w:tabs>
      <w:spacing w:line="240" w:lineRule="auto"/>
    </w:pPr>
  </w:style>
  <w:style w:type="character" w:customStyle="1" w:styleId="HeaderChar">
    <w:name w:val="Header Char"/>
    <w:basedOn w:val="DefaultParagraphFont"/>
    <w:link w:val="Header"/>
    <w:uiPriority w:val="99"/>
    <w:rPr>
      <w:rFonts w:ascii="Palatino Linotype" w:eastAsia="Times New Roman" w:hAnsi="Palatino Linotype" w:cs="Times New Roman"/>
      <w:sz w:val="28"/>
      <w:szCs w:val="20"/>
    </w:rPr>
  </w:style>
  <w:style w:type="paragraph" w:styleId="ListParagraph">
    <w:name w:val="List Paragraph"/>
    <w:basedOn w:val="Normal"/>
    <w:uiPriority w:val="34"/>
    <w:qFormat/>
    <w:pPr>
      <w:ind w:left="720"/>
      <w:contextualSpacing/>
    </w:pPr>
  </w:style>
  <w:style w:type="paragraph" w:customStyle="1" w:styleId="BATOAPageHeading">
    <w:name w:val="BA TOA Page Heading"/>
    <w:basedOn w:val="Normal"/>
    <w:link w:val="BATOAPageHeadingChar"/>
    <w:qFormat/>
    <w:pPr>
      <w:keepNext/>
      <w:keepLines/>
      <w:tabs>
        <w:tab w:val="clear" w:pos="475"/>
        <w:tab w:val="clear" w:pos="950"/>
        <w:tab w:val="clear" w:pos="1440"/>
        <w:tab w:val="right" w:pos="9360"/>
      </w:tabs>
      <w:autoSpaceDE/>
      <w:autoSpaceDN/>
      <w:adjustRightInd/>
      <w:spacing w:after="240" w:line="240" w:lineRule="auto"/>
      <w:ind w:left="360" w:hanging="360"/>
      <w:jc w:val="right"/>
    </w:pPr>
    <w:rPr>
      <w:rFonts w:eastAsiaTheme="minorEastAsia" w:cstheme="minorBidi"/>
      <w:b/>
      <w:szCs w:val="22"/>
    </w:rPr>
  </w:style>
  <w:style w:type="character" w:customStyle="1" w:styleId="BATOAPageHeadingChar">
    <w:name w:val="BA TOA Page Heading Char"/>
    <w:basedOn w:val="DefaultParagraphFont"/>
    <w:link w:val="BATOAPageHeading"/>
    <w:rPr>
      <w:rFonts w:ascii="Palatino Linotype" w:eastAsiaTheme="minorEastAsia" w:hAnsi="Palatino Linotype"/>
      <w:b/>
      <w:sz w:val="28"/>
      <w:szCs w:val="22"/>
    </w:rPr>
  </w:style>
  <w:style w:type="paragraph" w:styleId="Revision">
    <w:name w:val="Revision"/>
    <w:hidden/>
    <w:uiPriority w:val="99"/>
    <w:semiHidden/>
    <w:rPr>
      <w:rFonts w:ascii="Palatino Linotype" w:eastAsia="Times New Roman" w:hAnsi="Palatino Linotype" w:cs="Times New Roman"/>
      <w:sz w:val="28"/>
      <w:szCs w:val="20"/>
    </w:rPr>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Palatino Linotype" w:eastAsia="Times New Roman" w:hAnsi="Palatino Linotype" w:cs="Times New Roman"/>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TOC1">
    <w:name w:val="toc 1"/>
    <w:basedOn w:val="Normal"/>
    <w:next w:val="Normal"/>
    <w:autoRedefine/>
    <w:uiPriority w:val="39"/>
    <w:unhideWhenUsed/>
    <w:pPr>
      <w:tabs>
        <w:tab w:val="clear" w:pos="475"/>
        <w:tab w:val="clear" w:pos="950"/>
        <w:tab w:val="clear" w:pos="1440"/>
        <w:tab w:val="right" w:leader="dot" w:pos="9350"/>
      </w:tabs>
      <w:spacing w:after="100"/>
    </w:pPr>
  </w:style>
  <w:style w:type="paragraph" w:styleId="TOC2">
    <w:name w:val="toc 2"/>
    <w:basedOn w:val="Normal"/>
    <w:next w:val="Normal"/>
    <w:autoRedefine/>
    <w:uiPriority w:val="39"/>
    <w:unhideWhenUsed/>
    <w:pPr>
      <w:tabs>
        <w:tab w:val="clear" w:pos="475"/>
        <w:tab w:val="clear" w:pos="950"/>
        <w:tab w:val="clear" w:pos="1440"/>
        <w:tab w:val="left" w:pos="720"/>
        <w:tab w:val="right" w:leader="dot" w:pos="9350"/>
      </w:tabs>
      <w:spacing w:after="80" w:line="240" w:lineRule="auto"/>
      <w:ind w:left="950" w:right="1008" w:hanging="4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2376">
      <w:bodyDiv w:val="1"/>
      <w:marLeft w:val="0"/>
      <w:marRight w:val="0"/>
      <w:marTop w:val="0"/>
      <w:marBottom w:val="0"/>
      <w:divBdr>
        <w:top w:val="none" w:sz="0" w:space="0" w:color="auto"/>
        <w:left w:val="none" w:sz="0" w:space="0" w:color="auto"/>
        <w:bottom w:val="none" w:sz="0" w:space="0" w:color="auto"/>
        <w:right w:val="none" w:sz="0" w:space="0" w:color="auto"/>
      </w:divBdr>
    </w:div>
    <w:div w:id="617831587">
      <w:bodyDiv w:val="1"/>
      <w:marLeft w:val="0"/>
      <w:marRight w:val="0"/>
      <w:marTop w:val="0"/>
      <w:marBottom w:val="0"/>
      <w:divBdr>
        <w:top w:val="none" w:sz="0" w:space="0" w:color="auto"/>
        <w:left w:val="none" w:sz="0" w:space="0" w:color="auto"/>
        <w:bottom w:val="none" w:sz="0" w:space="0" w:color="auto"/>
        <w:right w:val="none" w:sz="0" w:space="0" w:color="auto"/>
      </w:divBdr>
    </w:div>
    <w:div w:id="636879789">
      <w:bodyDiv w:val="1"/>
      <w:marLeft w:val="0"/>
      <w:marRight w:val="0"/>
      <w:marTop w:val="0"/>
      <w:marBottom w:val="0"/>
      <w:divBdr>
        <w:top w:val="none" w:sz="0" w:space="0" w:color="auto"/>
        <w:left w:val="none" w:sz="0" w:space="0" w:color="auto"/>
        <w:bottom w:val="none" w:sz="0" w:space="0" w:color="auto"/>
        <w:right w:val="none" w:sz="0" w:space="0" w:color="auto"/>
      </w:divBdr>
    </w:div>
    <w:div w:id="1264454345">
      <w:bodyDiv w:val="1"/>
      <w:marLeft w:val="0"/>
      <w:marRight w:val="0"/>
      <w:marTop w:val="0"/>
      <w:marBottom w:val="0"/>
      <w:divBdr>
        <w:top w:val="none" w:sz="0" w:space="0" w:color="auto"/>
        <w:left w:val="none" w:sz="0" w:space="0" w:color="auto"/>
        <w:bottom w:val="none" w:sz="0" w:space="0" w:color="auto"/>
        <w:right w:val="none" w:sz="0" w:space="0" w:color="auto"/>
      </w:divBdr>
    </w:div>
    <w:div w:id="16385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21D2-0E01-F34B-A617-449B129F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2767</Words>
  <Characters>15772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Gonzalez-Araiza</dc:creator>
  <cp:keywords/>
  <dc:description/>
  <cp:lastModifiedBy>Rebecca VanDeMark</cp:lastModifiedBy>
  <cp:revision>2</cp:revision>
  <dcterms:created xsi:type="dcterms:W3CDTF">2022-10-11T21:29:00Z</dcterms:created>
  <dcterms:modified xsi:type="dcterms:W3CDTF">2022-10-11T21:29:00Z</dcterms:modified>
</cp:coreProperties>
</file>